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438" w:val="left" w:leader="none"/>
        </w:tabs>
        <w:spacing w:before="134"/>
        <w:ind w:left="113"/>
      </w:pPr>
      <w:r>
        <w:rPr/>
        <w:t>Data de disponibilização: 15 de agosto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1423</w:t>
      </w:r>
    </w:p>
    <w:p>
      <w:pPr>
        <w:pStyle w:val="BodyText"/>
        <w:spacing w:before="1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498538</wp:posOffset>
                </wp:positionH>
                <wp:positionV relativeFrom="paragraph">
                  <wp:posOffset>257972</wp:posOffset>
                </wp:positionV>
                <wp:extent cx="6559550" cy="957580"/>
                <wp:effectExtent l="0" t="0" r="0" b="0"/>
                <wp:wrapTopAndBottom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6559550" cy="957580"/>
                          <a:chExt cx="6559550" cy="95758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6550025" cy="948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0025" h="948055">
                                <a:moveTo>
                                  <a:pt x="0" y="0"/>
                                </a:moveTo>
                                <a:lnTo>
                                  <a:pt x="0" y="947801"/>
                                </a:lnTo>
                              </a:path>
                              <a:path w="6550025" h="948055">
                                <a:moveTo>
                                  <a:pt x="0" y="947801"/>
                                </a:moveTo>
                                <a:lnTo>
                                  <a:pt x="6550025" y="947801"/>
                                </a:lnTo>
                              </a:path>
                              <a:path w="6550025" h="948055">
                                <a:moveTo>
                                  <a:pt x="6550025" y="947801"/>
                                </a:moveTo>
                                <a:lnTo>
                                  <a:pt x="6550025" y="0"/>
                                </a:lnTo>
                              </a:path>
                              <a:path w="6550025" h="948055">
                                <a:moveTo>
                                  <a:pt x="655002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336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89471" y="58489"/>
                            <a:ext cx="4116070" cy="716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3566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LEAN ANTÔNIO FERREIRA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ARAÚJO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3566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PROCURADOR-GERAL DE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JUSTIÇA</w:t>
                              </w:r>
                            </w:p>
                            <w:p>
                              <w:pPr>
                                <w:spacing w:line="240" w:lineRule="auto" w:before="3"/>
                                <w:rPr>
                                  <w:sz w:val="15"/>
                                </w:rPr>
                              </w:pPr>
                            </w:p>
                            <w:p>
                              <w:pPr>
                                <w:tabs>
                                  <w:tab w:pos="3692" w:val="left" w:leader="none"/>
                                </w:tabs>
                                <w:spacing w:line="171" w:lineRule="exact" w:before="1"/>
                                <w:ind w:left="367" w:right="0" w:firstLine="0"/>
                                <w:jc w:val="left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WALBER JOSÉ VALENTE DE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LIMA</w:t>
                              </w: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ab/>
                                <w:t>SÉRGIO ROCHA CAVALCANTI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4"/>
                                  <w:sz w:val="15"/>
                                </w:rPr>
                                <w:t>JUCÁ</w:t>
                              </w:r>
                            </w:p>
                            <w:p>
                              <w:pPr>
                                <w:tabs>
                                  <w:tab w:pos="4038" w:val="left" w:leader="none"/>
                                </w:tabs>
                                <w:spacing w:line="171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Administrativo-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Institucional</w:t>
                              </w:r>
                              <w:r>
                                <w:rPr>
                                  <w:sz w:val="15"/>
                                </w:rPr>
                                <w:tab/>
                                <w:t>Subprocurador-Geral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 Judicial</w:t>
                              </w:r>
                            </w:p>
                            <w:p>
                              <w:pPr>
                                <w:spacing w:before="101"/>
                                <w:ind w:left="1364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5"/>
                                </w:rPr>
                                <w:t>EDUARDO TAVARES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sz w:val="15"/>
                                </w:rPr>
                                <w:t>MENDES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828357" y="775150"/>
                            <a:ext cx="1664970" cy="1066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8" w:lineRule="exact" w:before="0"/>
                                <w:ind w:left="0" w:right="0" w:firstLine="0"/>
                                <w:jc w:val="left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Corregedor-Geral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121086" y="387038"/>
                            <a:ext cx="2122170" cy="4946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6" w:lineRule="exact" w:before="0"/>
                                <w:ind w:left="801" w:right="0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VALTER JOSÉ DE OMENA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ACIOLY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801" w:right="0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Subprocurador-Geral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Recursal</w:t>
                              </w:r>
                            </w:p>
                            <w:p>
                              <w:pPr>
                                <w:spacing w:line="171" w:lineRule="exact" w:before="101"/>
                                <w:ind w:left="0" w:right="839" w:firstLine="0"/>
                                <w:jc w:val="center"/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z w:val="15"/>
                                </w:rPr>
                                <w:t>MAURÍCIO ANDRÉ BARROS </w:t>
                              </w:r>
                              <w:r>
                                <w:rPr>
                                  <w:rFonts w:ascii="Arial" w:hAnsi="Arial"/>
                                  <w:b/>
                                  <w:spacing w:val="-2"/>
                                  <w:sz w:val="15"/>
                                </w:rPr>
                                <w:t>PITTA</w:t>
                              </w:r>
                            </w:p>
                            <w:p>
                              <w:pPr>
                                <w:spacing w:line="171" w:lineRule="exact" w:before="0"/>
                                <w:ind w:left="0" w:right="838" w:firstLine="0"/>
                                <w:jc w:val="center"/>
                                <w:rPr>
                                  <w:sz w:val="15"/>
                                </w:rPr>
                              </w:pPr>
                              <w:r>
                                <w:rPr>
                                  <w:sz w:val="15"/>
                                </w:rPr>
                                <w:t>Ouvidor do Ministério </w:t>
                              </w:r>
                              <w:r>
                                <w:rPr>
                                  <w:spacing w:val="-2"/>
                                  <w:sz w:val="15"/>
                                </w:rPr>
                                <w:t>Público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.255001pt;margin-top:20.312782pt;width:516.5pt;height:75.4pt;mso-position-horizontal-relative:page;mso-position-vertical-relative:paragraph;z-index:-15727616;mso-wrap-distance-left:0;mso-wrap-distance-right:0" id="docshapegroup4" coordorigin="785,406" coordsize="10330,1508">
                <v:shape style="position:absolute;left:792;top:413;width:10315;height:1493" id="docshape5" coordorigin="793,414" coordsize="10315,1493" path="m793,414l793,1906m793,1906l11108,1906m11108,1906l11108,414m11108,414l793,414e" filled="false" stroked="true" strokeweight=".75pt" strokecolor="#00336a">
                  <v:path arrowok="t"/>
                  <v:stroke dashstyle="solid"/>
                </v:shape>
                <v:shape style="position:absolute;left:926;top:498;width:6482;height:1128" type="#_x0000_t202" id="docshape6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3566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LEAN ANTÔNIO FERREIRA DE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ARAÚJO</w:t>
                        </w:r>
                      </w:p>
                      <w:p>
                        <w:pPr>
                          <w:spacing w:line="171" w:lineRule="exact" w:before="0"/>
                          <w:ind w:left="3566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PROCURADOR-GERAL DE </w:t>
                        </w:r>
                        <w:r>
                          <w:rPr>
                            <w:spacing w:val="-2"/>
                            <w:sz w:val="15"/>
                          </w:rPr>
                          <w:t>JUSTIÇA</w:t>
                        </w:r>
                      </w:p>
                      <w:p>
                        <w:pPr>
                          <w:spacing w:line="240" w:lineRule="auto" w:before="3"/>
                          <w:rPr>
                            <w:sz w:val="15"/>
                          </w:rPr>
                        </w:pPr>
                      </w:p>
                      <w:p>
                        <w:pPr>
                          <w:tabs>
                            <w:tab w:pos="3692" w:val="left" w:leader="none"/>
                          </w:tabs>
                          <w:spacing w:line="171" w:lineRule="exact" w:before="1"/>
                          <w:ind w:left="367" w:right="0" w:firstLine="0"/>
                          <w:jc w:val="left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WALBER JOSÉ VALENTE DE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LIMA</w:t>
                        </w: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ab/>
                          <w:t>SÉRGIO ROCHA CAVALCANTI </w:t>
                        </w:r>
                        <w:r>
                          <w:rPr>
                            <w:rFonts w:ascii="Arial" w:hAnsi="Arial"/>
                            <w:b/>
                            <w:spacing w:val="-4"/>
                            <w:sz w:val="15"/>
                          </w:rPr>
                          <w:t>JUCÁ</w:t>
                        </w:r>
                      </w:p>
                      <w:p>
                        <w:pPr>
                          <w:tabs>
                            <w:tab w:pos="4038" w:val="left" w:leader="none"/>
                          </w:tabs>
                          <w:spacing w:line="171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Administrativo-</w:t>
                        </w:r>
                        <w:r>
                          <w:rPr>
                            <w:spacing w:val="-2"/>
                            <w:sz w:val="15"/>
                          </w:rPr>
                          <w:t>Institucional</w:t>
                        </w:r>
                        <w:r>
                          <w:rPr>
                            <w:sz w:val="15"/>
                          </w:rPr>
                          <w:tab/>
                          <w:t>Subprocurador-Geral</w:t>
                        </w:r>
                        <w:r>
                          <w:rPr>
                            <w:spacing w:val="-2"/>
                            <w:sz w:val="15"/>
                          </w:rPr>
                          <w:t> Judicial</w:t>
                        </w:r>
                      </w:p>
                      <w:p>
                        <w:pPr>
                          <w:spacing w:before="101"/>
                          <w:ind w:left="1364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EDUARDO TAVARES 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MENDES</w:t>
                        </w:r>
                      </w:p>
                    </w:txbxContent>
                  </v:textbox>
                  <w10:wrap type="none"/>
                </v:shape>
                <v:shape style="position:absolute;left:2089;top:1626;width:2622;height:168" type="#_x0000_t202" id="docshape7" filled="false" stroked="false">
                  <v:textbox inset="0,0,0,0">
                    <w:txbxContent>
                      <w:p>
                        <w:pPr>
                          <w:spacing w:line="168" w:lineRule="exact" w:before="0"/>
                          <w:ind w:left="0" w:right="0" w:firstLine="0"/>
                          <w:jc w:val="left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Corregedor-Geral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v:shape style="position:absolute;left:7275;top:1015;width:3342;height:779" type="#_x0000_t202" id="docshape8" filled="false" stroked="false">
                  <v:textbox inset="0,0,0,0">
                    <w:txbxContent>
                      <w:p>
                        <w:pPr>
                          <w:spacing w:line="166" w:lineRule="exact" w:before="0"/>
                          <w:ind w:left="801" w:right="0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VALTER JOSÉ DE OMENA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ACIOLY</w:t>
                        </w:r>
                      </w:p>
                      <w:p>
                        <w:pPr>
                          <w:spacing w:line="171" w:lineRule="exact" w:before="0"/>
                          <w:ind w:left="801" w:right="0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Subprocurador-Geral </w:t>
                        </w:r>
                        <w:r>
                          <w:rPr>
                            <w:spacing w:val="-2"/>
                            <w:sz w:val="15"/>
                          </w:rPr>
                          <w:t>Recursal</w:t>
                        </w:r>
                      </w:p>
                      <w:p>
                        <w:pPr>
                          <w:spacing w:line="171" w:lineRule="exact" w:before="101"/>
                          <w:ind w:left="0" w:right="839" w:firstLine="0"/>
                          <w:jc w:val="center"/>
                          <w:rPr>
                            <w:rFonts w:ascii="Arial" w:hAnsi="Arial"/>
                            <w:b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b/>
                            <w:sz w:val="15"/>
                          </w:rPr>
                          <w:t>MAURÍCIO ANDRÉ BARROS </w:t>
                        </w:r>
                        <w:r>
                          <w:rPr>
                            <w:rFonts w:ascii="Arial" w:hAnsi="Arial"/>
                            <w:b/>
                            <w:spacing w:val="-2"/>
                            <w:sz w:val="15"/>
                          </w:rPr>
                          <w:t>PITTA</w:t>
                        </w:r>
                      </w:p>
                      <w:p>
                        <w:pPr>
                          <w:spacing w:line="171" w:lineRule="exact" w:before="0"/>
                          <w:ind w:left="0" w:right="838" w:firstLine="0"/>
                          <w:jc w:val="center"/>
                          <w:rPr>
                            <w:sz w:val="15"/>
                          </w:rPr>
                        </w:pPr>
                        <w:r>
                          <w:rPr>
                            <w:sz w:val="15"/>
                          </w:rPr>
                          <w:t>Ouvidor do Ministério </w:t>
                        </w:r>
                        <w:r>
                          <w:rPr>
                            <w:spacing w:val="-2"/>
                            <w:sz w:val="15"/>
                          </w:rPr>
                          <w:t>Público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7"/>
        <w:ind w:left="0"/>
      </w:pPr>
    </w:p>
    <w:p>
      <w:pPr>
        <w:pStyle w:val="BodyText"/>
        <w:spacing w:before="2"/>
        <w:ind w:left="0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061"/>
        <w:gridCol w:w="4173"/>
        <w:gridCol w:w="3080"/>
      </w:tblGrid>
      <w:tr>
        <w:trPr>
          <w:trHeight w:val="344" w:hRule="atLeast"/>
        </w:trPr>
        <w:tc>
          <w:tcPr>
            <w:tcW w:w="30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3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right="3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080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73" w:type="dxa"/>
          </w:tcPr>
          <w:p>
            <w:pPr>
              <w:pStyle w:val="TableParagraph"/>
              <w:spacing w:line="240" w:lineRule="auto" w:before="1"/>
              <w:ind w:righ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080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0" w:right="307"/>
              <w:jc w:val="right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4173" w:type="dxa"/>
          </w:tcPr>
          <w:p>
            <w:pPr>
              <w:pStyle w:val="TableParagraph"/>
              <w:spacing w:line="153" w:lineRule="exact" w:before="85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297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984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4173" w:type="dxa"/>
          </w:tcPr>
          <w:p>
            <w:pPr>
              <w:pStyle w:val="TableParagraph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501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0" w:right="345"/>
              <w:jc w:val="right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  <w:tc>
          <w:tcPr>
            <w:tcW w:w="4173" w:type="dxa"/>
          </w:tcPr>
          <w:p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443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1113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  <w:tc>
          <w:tcPr>
            <w:tcW w:w="4173" w:type="dxa"/>
          </w:tcPr>
          <w:p>
            <w:pPr>
              <w:pStyle w:val="TableParagraph"/>
              <w:ind w:right="1"/>
              <w:jc w:val="center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451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  <w:tr>
        <w:trPr>
          <w:trHeight w:val="16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0" w:right="299"/>
              <w:jc w:val="right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  <w:tc>
          <w:tcPr>
            <w:tcW w:w="4173" w:type="dxa"/>
          </w:tcPr>
          <w:p>
            <w:pPr>
              <w:pStyle w:val="TableParagraph"/>
              <w:jc w:val="center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393"/>
              <w:rPr>
                <w:sz w:val="15"/>
              </w:rPr>
            </w:pPr>
            <w:r>
              <w:rPr>
                <w:sz w:val="15"/>
              </w:rPr>
              <w:t>Neide Maria Camelo da </w:t>
            </w:r>
            <w:r>
              <w:rPr>
                <w:spacing w:val="-2"/>
                <w:sz w:val="15"/>
              </w:rPr>
              <w:t>Silva</w:t>
            </w:r>
          </w:p>
        </w:tc>
      </w:tr>
      <w:tr>
        <w:trPr>
          <w:trHeight w:val="366" w:hRule="atLeast"/>
        </w:trPr>
        <w:tc>
          <w:tcPr>
            <w:tcW w:w="30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876"/>
              <w:rPr>
                <w:sz w:val="15"/>
              </w:rPr>
            </w:pPr>
            <w:r>
              <w:rPr>
                <w:sz w:val="15"/>
              </w:rPr>
              <w:t>Silvana de Almeida </w:t>
            </w:r>
            <w:r>
              <w:rPr>
                <w:spacing w:val="-2"/>
                <w:sz w:val="15"/>
              </w:rPr>
              <w:t>Abreu</w:t>
            </w:r>
          </w:p>
        </w:tc>
        <w:tc>
          <w:tcPr>
            <w:tcW w:w="4173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jc w:val="center"/>
              <w:rPr>
                <w:sz w:val="15"/>
              </w:rPr>
            </w:pPr>
            <w:r>
              <w:rPr>
                <w:sz w:val="15"/>
              </w:rPr>
              <w:t>Luiz José Gomes </w:t>
            </w:r>
            <w:r>
              <w:rPr>
                <w:spacing w:val="-2"/>
                <w:sz w:val="15"/>
              </w:rPr>
              <w:t>Vasconcelos</w:t>
            </w:r>
          </w:p>
        </w:tc>
        <w:tc>
          <w:tcPr>
            <w:tcW w:w="308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534"/>
              <w:rPr>
                <w:sz w:val="15"/>
              </w:rPr>
            </w:pPr>
            <w:r>
              <w:rPr>
                <w:sz w:val="15"/>
              </w:rPr>
              <w:t>Sandra Malta Prata </w:t>
            </w:r>
            <w:r>
              <w:rPr>
                <w:spacing w:val="-4"/>
                <w:sz w:val="15"/>
              </w:rPr>
              <w:t>Lima</w:t>
            </w:r>
          </w:p>
        </w:tc>
      </w:tr>
      <w:tr>
        <w:trPr>
          <w:trHeight w:val="75" w:hRule="atLeast"/>
        </w:trPr>
        <w:tc>
          <w:tcPr>
            <w:tcW w:w="3061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4173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  <w:tc>
          <w:tcPr>
            <w:tcW w:w="3080" w:type="dxa"/>
            <w:tcBorders>
              <w:top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"/>
              </w:rPr>
            </w:pPr>
          </w:p>
        </w:tc>
      </w:tr>
      <w:tr>
        <w:trPr>
          <w:trHeight w:val="344" w:hRule="atLeast"/>
        </w:trPr>
        <w:tc>
          <w:tcPr>
            <w:tcW w:w="3061" w:type="dxa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right="31"/>
              <w:jc w:val="center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CONSELHO SUPERIOR DO MINISTÉRIO </w:t>
            </w:r>
            <w:r>
              <w:rPr>
                <w:rFonts w:ascii="Arial" w:hAnsi="Arial"/>
                <w:b/>
                <w:spacing w:val="-2"/>
                <w:sz w:val="15"/>
              </w:rPr>
              <w:t>PÚBLICO</w:t>
            </w:r>
          </w:p>
          <w:p>
            <w:pPr>
              <w:pStyle w:val="TableParagraph"/>
              <w:spacing w:line="157" w:lineRule="exact"/>
              <w:ind w:right="30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080" w:type="dxa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173" w:type="dxa"/>
          </w:tcPr>
          <w:p>
            <w:pPr>
              <w:pStyle w:val="TableParagraph"/>
              <w:spacing w:line="240" w:lineRule="auto" w:before="1"/>
              <w:ind w:right="31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258" w:hRule="atLeast"/>
        </w:trPr>
        <w:tc>
          <w:tcPr>
            <w:tcW w:w="30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876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  <w:tc>
          <w:tcPr>
            <w:tcW w:w="4173" w:type="dxa"/>
          </w:tcPr>
          <w:p>
            <w:pPr>
              <w:pStyle w:val="TableParagraph"/>
              <w:spacing w:line="153" w:lineRule="exact" w:before="85"/>
              <w:jc w:val="center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  <w:tc>
          <w:tcPr>
            <w:tcW w:w="3080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397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</w:tr>
      <w:tr>
        <w:trPr>
          <w:trHeight w:val="366" w:hRule="atLeast"/>
        </w:trPr>
        <w:tc>
          <w:tcPr>
            <w:tcW w:w="30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8" w:lineRule="exact"/>
              <w:ind w:left="0" w:right="391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4173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jc w:val="center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  <w:p>
            <w:pPr>
              <w:pStyle w:val="TableParagraph"/>
              <w:spacing w:line="171" w:lineRule="exact"/>
              <w:jc w:val="center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080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451"/>
              <w:rPr>
                <w:sz w:val="15"/>
              </w:rPr>
            </w:pPr>
            <w:r>
              <w:rPr>
                <w:sz w:val="15"/>
              </w:rPr>
              <w:t>Helder de Arthur Jucá </w:t>
            </w:r>
            <w:r>
              <w:rPr>
                <w:spacing w:val="-2"/>
                <w:sz w:val="15"/>
              </w:rPr>
              <w:t>Filho</w:t>
            </w:r>
          </w:p>
        </w:tc>
      </w:tr>
    </w:tbl>
    <w:p>
      <w:pPr>
        <w:pStyle w:val="BodyText"/>
        <w:spacing w:before="0"/>
        <w:ind w:left="0"/>
        <w:rPr>
          <w:sz w:val="20"/>
        </w:rPr>
      </w:pPr>
    </w:p>
    <w:p>
      <w:pPr>
        <w:pStyle w:val="BodyText"/>
        <w:spacing w:before="76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209562</wp:posOffset>
                </wp:positionV>
                <wp:extent cx="39243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500977pt;width:309pt;height:.1pt;mso-position-horizontal-relative:page;mso-position-vertical-relative:paragraph;z-index:-15727104;mso-wrap-distance-left:0;mso-wrap-distance-right:0" id="docshape9" coordorigin="2860,330" coordsize="6180,0" path="m2860,330l9040,330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ind w:left="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1816100</wp:posOffset>
                </wp:positionH>
                <wp:positionV relativeFrom="paragraph">
                  <wp:posOffset>43829</wp:posOffset>
                </wp:positionV>
                <wp:extent cx="3924300" cy="1270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51172pt;width:309pt;height:.1pt;mso-position-horizontal-relative:page;mso-position-vertical-relative:paragraph;z-index:-15726592;mso-wrap-distance-left:0;mso-wrap-distance-right:0" id="docshape10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BodyText"/>
        <w:spacing w:before="0"/>
      </w:pPr>
      <w:r>
        <w:rPr/>
        <w:t>ATO PGJ Nº </w:t>
      </w:r>
      <w:r>
        <w:rPr>
          <w:spacing w:val="-2"/>
        </w:rPr>
        <w:t>25/2025</w:t>
      </w:r>
    </w:p>
    <w:p>
      <w:pPr>
        <w:pStyle w:val="BodyText"/>
        <w:spacing w:before="0"/>
        <w:ind w:left="0"/>
      </w:pPr>
    </w:p>
    <w:p>
      <w:pPr>
        <w:pStyle w:val="BodyText"/>
        <w:spacing w:before="27"/>
        <w:ind w:left="0"/>
      </w:pPr>
    </w:p>
    <w:p>
      <w:pPr>
        <w:pStyle w:val="BodyText"/>
        <w:spacing w:before="1"/>
        <w:jc w:val="both"/>
      </w:pPr>
      <w:r>
        <w:rPr/>
        <w:t>Institui o Programa de Inovação e cria o Laboratório de Inovação (MPLab) do Ministério Público do Estado de </w:t>
      </w:r>
      <w:r>
        <w:rPr>
          <w:spacing w:val="-2"/>
        </w:rPr>
        <w:t>Alagoas.</w:t>
      </w:r>
    </w:p>
    <w:p>
      <w:pPr>
        <w:pStyle w:val="BodyText"/>
        <w:spacing w:before="0"/>
        <w:ind w:left="0"/>
      </w:pPr>
    </w:p>
    <w:p>
      <w:pPr>
        <w:pStyle w:val="BodyText"/>
        <w:spacing w:before="26"/>
        <w:ind w:left="0"/>
      </w:pPr>
    </w:p>
    <w:p>
      <w:pPr>
        <w:pStyle w:val="BodyText"/>
        <w:spacing w:before="1"/>
      </w:pPr>
      <w:r>
        <w:rPr/>
        <w:t>O</w:t>
      </w:r>
      <w:r>
        <w:rPr>
          <w:spacing w:val="10"/>
        </w:rPr>
        <w:t> </w:t>
      </w:r>
      <w:r>
        <w:rPr/>
        <w:t>PROCURADOR-GERAL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JUSTIÇA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MINISTÉRIO</w:t>
      </w:r>
      <w:r>
        <w:rPr>
          <w:spacing w:val="11"/>
        </w:rPr>
        <w:t> </w:t>
      </w:r>
      <w:r>
        <w:rPr/>
        <w:t>PÚBLICO</w:t>
      </w:r>
      <w:r>
        <w:rPr>
          <w:spacing w:val="11"/>
        </w:rPr>
        <w:t> </w:t>
      </w:r>
      <w:r>
        <w:rPr/>
        <w:t>DO</w:t>
      </w:r>
      <w:r>
        <w:rPr>
          <w:spacing w:val="11"/>
        </w:rPr>
        <w:t> </w:t>
      </w:r>
      <w:r>
        <w:rPr/>
        <w:t>ESTADO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ALAGOAS,</w:t>
      </w:r>
      <w:r>
        <w:rPr>
          <w:spacing w:val="11"/>
        </w:rPr>
        <w:t> </w:t>
      </w:r>
      <w:r>
        <w:rPr/>
        <w:t>no</w:t>
      </w:r>
      <w:r>
        <w:rPr>
          <w:spacing w:val="11"/>
        </w:rPr>
        <w:t> </w:t>
      </w:r>
      <w:r>
        <w:rPr/>
        <w:t>uso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/>
        <w:t>suas</w:t>
      </w:r>
      <w:r>
        <w:rPr>
          <w:spacing w:val="11"/>
        </w:rPr>
        <w:t> </w:t>
      </w:r>
      <w:r>
        <w:rPr>
          <w:spacing w:val="-2"/>
        </w:rPr>
        <w:t>atribuições</w:t>
      </w:r>
    </w:p>
    <w:p>
      <w:pPr>
        <w:pStyle w:val="BodyText"/>
        <w:spacing w:line="249" w:lineRule="auto"/>
        <w:ind w:right="230"/>
        <w:jc w:val="both"/>
      </w:pPr>
      <w:r>
        <w:rPr/>
        <w:t>legais,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visando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busca</w:t>
      </w:r>
      <w:r>
        <w:rPr>
          <w:spacing w:val="-2"/>
        </w:rPr>
        <w:t> </w:t>
      </w:r>
      <w:r>
        <w:rPr/>
        <w:t>contínua</w:t>
      </w:r>
      <w:r>
        <w:rPr>
          <w:spacing w:val="-2"/>
        </w:rPr>
        <w:t> </w:t>
      </w:r>
      <w:r>
        <w:rPr/>
        <w:t>pelo</w:t>
      </w:r>
      <w:r>
        <w:rPr>
          <w:spacing w:val="-2"/>
        </w:rPr>
        <w:t> </w:t>
      </w:r>
      <w:r>
        <w:rPr/>
        <w:t>aperfeiçoamento</w:t>
      </w:r>
      <w:r>
        <w:rPr>
          <w:spacing w:val="-2"/>
        </w:rPr>
        <w:t> </w:t>
      </w:r>
      <w:r>
        <w:rPr/>
        <w:t>das</w:t>
      </w:r>
      <w:r>
        <w:rPr>
          <w:spacing w:val="-2"/>
        </w:rPr>
        <w:t> </w:t>
      </w:r>
      <w:r>
        <w:rPr/>
        <w:t>rotinas</w:t>
      </w:r>
      <w:r>
        <w:rPr>
          <w:spacing w:val="-2"/>
        </w:rPr>
        <w:t> </w:t>
      </w:r>
      <w:r>
        <w:rPr/>
        <w:t>administrativas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Ministério</w:t>
      </w:r>
      <w:r>
        <w:rPr>
          <w:spacing w:val="-2"/>
        </w:rPr>
        <w:t> </w:t>
      </w:r>
      <w:r>
        <w:rPr/>
        <w:t>Público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Alagoas; CONSIDERANDO o teor dos artigos 218 e 219 da Constituição Federal, que tratam do estímulo e fortalecimento da inovação no setor público;</w:t>
      </w:r>
    </w:p>
    <w:p>
      <w:pPr>
        <w:pStyle w:val="BodyText"/>
        <w:spacing w:line="249" w:lineRule="auto" w:before="2"/>
        <w:ind w:right="230"/>
        <w:jc w:val="both"/>
      </w:pPr>
      <w:r>
        <w:rPr/>
        <w:t>CONSIDERANDO o princípio constitucional da eficiência que tem como atributos a racionalização, a produtividade, a economicidade e a celeridade aplicados ao serviço público;</w:t>
      </w:r>
    </w:p>
    <w:p>
      <w:pPr>
        <w:pStyle w:val="BodyText"/>
        <w:spacing w:line="249" w:lineRule="auto" w:before="1"/>
        <w:ind w:right="48"/>
      </w:pPr>
      <w:r>
        <w:rPr/>
        <w:t>CONSIDERANDO</w:t>
      </w:r>
      <w:r>
        <w:rPr>
          <w:spacing w:val="23"/>
        </w:rPr>
        <w:t> </w:t>
      </w:r>
      <w:r>
        <w:rPr/>
        <w:t>os</w:t>
      </w:r>
      <w:r>
        <w:rPr>
          <w:spacing w:val="23"/>
        </w:rPr>
        <w:t> </w:t>
      </w:r>
      <w:r>
        <w:rPr/>
        <w:t>objetivos</w:t>
      </w:r>
      <w:r>
        <w:rPr>
          <w:spacing w:val="23"/>
        </w:rPr>
        <w:t> </w:t>
      </w:r>
      <w:r>
        <w:rPr/>
        <w:t>propostos</w:t>
      </w:r>
      <w:r>
        <w:rPr>
          <w:spacing w:val="23"/>
        </w:rPr>
        <w:t> </w:t>
      </w:r>
      <w:r>
        <w:rPr/>
        <w:t>pelo</w:t>
      </w:r>
      <w:r>
        <w:rPr>
          <w:spacing w:val="23"/>
        </w:rPr>
        <w:t> </w:t>
      </w:r>
      <w:r>
        <w:rPr/>
        <w:t>Conselho</w:t>
      </w:r>
      <w:r>
        <w:rPr>
          <w:spacing w:val="23"/>
        </w:rPr>
        <w:t> </w:t>
      </w:r>
      <w:r>
        <w:rPr/>
        <w:t>Nacional</w:t>
      </w:r>
      <w:r>
        <w:rPr>
          <w:spacing w:val="23"/>
        </w:rPr>
        <w:t> </w:t>
      </w:r>
      <w:r>
        <w:rPr/>
        <w:t>do</w:t>
      </w:r>
      <w:r>
        <w:rPr>
          <w:spacing w:val="23"/>
        </w:rPr>
        <w:t> </w:t>
      </w:r>
      <w:r>
        <w:rPr/>
        <w:t>Ministério</w:t>
      </w:r>
      <w:r>
        <w:rPr>
          <w:spacing w:val="23"/>
        </w:rPr>
        <w:t> </w:t>
      </w:r>
      <w:r>
        <w:rPr/>
        <w:t>Público</w:t>
      </w:r>
      <w:r>
        <w:rPr>
          <w:spacing w:val="23"/>
        </w:rPr>
        <w:t> </w:t>
      </w:r>
      <w:r>
        <w:rPr/>
        <w:t>no</w:t>
      </w:r>
      <w:r>
        <w:rPr>
          <w:spacing w:val="23"/>
        </w:rPr>
        <w:t> </w:t>
      </w:r>
      <w:r>
        <w:rPr/>
        <w:t>Mapa</w:t>
      </w:r>
      <w:r>
        <w:rPr>
          <w:spacing w:val="23"/>
        </w:rPr>
        <w:t> </w:t>
      </w:r>
      <w:r>
        <w:rPr/>
        <w:t>Estratégico</w:t>
      </w:r>
      <w:r>
        <w:rPr>
          <w:spacing w:val="23"/>
        </w:rPr>
        <w:t> </w:t>
      </w:r>
      <w:r>
        <w:rPr/>
        <w:t>2020-2029,</w:t>
      </w:r>
      <w:r>
        <w:rPr>
          <w:spacing w:val="23"/>
        </w:rPr>
        <w:t> </w:t>
      </w:r>
      <w:r>
        <w:rPr/>
        <w:t>em especial aqueles voltados ao fortalecimento da governança e da gestão, à utilização eficiente dos recursos públicos, à oferta de soluções integradas e inovadoras, bem como à promoção da gestão por competências e da qualidade no ambiente de trabalho; CONSIDERANDO a relevância do desenvolvimento contínuo de soluções que viabilizem às unidades ministeriais o alcance de seus objetivos institucionais, de maneira eficiente e alinhada ao Planejamento Estratégico do Ministério Público do Estado de</w:t>
      </w:r>
      <w:r>
        <w:rPr>
          <w:spacing w:val="40"/>
        </w:rPr>
        <w:t> </w:t>
      </w:r>
      <w:r>
        <w:rPr>
          <w:spacing w:val="-2"/>
        </w:rPr>
        <w:t>Alagoas;</w:t>
      </w:r>
    </w:p>
    <w:p>
      <w:pPr>
        <w:pStyle w:val="BodyText"/>
        <w:spacing w:line="249" w:lineRule="auto" w:before="5"/>
        <w:ind w:right="228"/>
        <w:jc w:val="both"/>
      </w:pPr>
      <w:r>
        <w:rPr/>
        <w:t>CONSIDERANDO a importância de fomentar e difundir a cultura de experimentação no âmbito do Ministério Público do Estado de Alagoas, promovendo um ambiente seguro e propício à criação e implementação de iniciativas experimentais voltadas às demandas locais;</w:t>
      </w:r>
    </w:p>
    <w:p>
      <w:pPr>
        <w:pStyle w:val="BodyText"/>
        <w:spacing w:line="249" w:lineRule="auto" w:before="2"/>
        <w:ind w:right="203"/>
        <w:jc w:val="both"/>
      </w:pPr>
      <w:r>
        <w:rPr/>
        <w:t>CONSIDERANDO a necessidade de estabelecer um espaço que favoreça a gestão do conhecimento e da inovação,</w:t>
      </w:r>
      <w:r>
        <w:rPr>
          <w:spacing w:val="40"/>
        </w:rPr>
        <w:t> </w:t>
      </w:r>
      <w:r>
        <w:rPr/>
        <w:t>estimulando a participação ativa e colaborativa de membros, servidores e demais colaboradores na construção de soluções administrativas e tecnológicas, por meio de abordagens interativas e iterativas;</w:t>
      </w:r>
    </w:p>
    <w:p>
      <w:pPr>
        <w:pStyle w:val="BodyText"/>
        <w:spacing w:line="249" w:lineRule="auto" w:before="2"/>
        <w:ind w:right="230"/>
        <w:jc w:val="both"/>
      </w:pPr>
      <w:r>
        <w:rPr/>
        <w:t>CONSIDERANDO a crescente adoção, no setor público, de metodologias e práticas de desenvolvimento ágil, observando-se os parâmetros legais aplicáveis.</w:t>
      </w:r>
    </w:p>
    <w:p>
      <w:pPr>
        <w:pStyle w:val="BodyText"/>
        <w:spacing w:before="2"/>
      </w:pPr>
      <w:r>
        <w:rPr>
          <w:spacing w:val="-2"/>
        </w:rPr>
        <w:t>RESOLVE:</w:t>
      </w:r>
    </w:p>
    <w:p>
      <w:pPr>
        <w:pStyle w:val="BodyText"/>
        <w:spacing w:line="249" w:lineRule="auto"/>
        <w:ind w:right="1638"/>
      </w:pPr>
      <w:r>
        <w:rPr/>
        <w:t>Art.</w:t>
      </w:r>
      <w:r>
        <w:rPr>
          <w:spacing w:val="-3"/>
        </w:rPr>
        <w:t> </w:t>
      </w:r>
      <w:r>
        <w:rPr/>
        <w:t>1º</w:t>
      </w:r>
      <w:r>
        <w:rPr>
          <w:spacing w:val="-3"/>
        </w:rPr>
        <w:t> </w:t>
      </w:r>
      <w:r>
        <w:rPr/>
        <w:t>Instituir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Programa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Inovação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Ministério</w:t>
      </w:r>
      <w:r>
        <w:rPr>
          <w:spacing w:val="-3"/>
        </w:rPr>
        <w:t> </w:t>
      </w:r>
      <w:r>
        <w:rPr/>
        <w:t>Público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Alagoas,</w:t>
      </w:r>
      <w:r>
        <w:rPr>
          <w:spacing w:val="-3"/>
        </w:rPr>
        <w:t> </w:t>
      </w:r>
      <w:r>
        <w:rPr/>
        <w:t>nos</w:t>
      </w:r>
      <w:r>
        <w:rPr>
          <w:spacing w:val="-3"/>
        </w:rPr>
        <w:t> </w:t>
      </w:r>
      <w:r>
        <w:rPr/>
        <w:t>termos</w:t>
      </w:r>
      <w:r>
        <w:rPr>
          <w:spacing w:val="-3"/>
        </w:rPr>
        <w:t> </w:t>
      </w:r>
      <w:r>
        <w:rPr/>
        <w:t>deste</w:t>
      </w:r>
      <w:r>
        <w:rPr>
          <w:spacing w:val="-3"/>
        </w:rPr>
        <w:t> </w:t>
      </w:r>
      <w:r>
        <w:rPr/>
        <w:t>Ato. Art.2º São finalidades do Programa de Inovação do Ministério Público do Estado de Alagoas:</w:t>
      </w:r>
    </w:p>
    <w:p>
      <w:pPr>
        <w:pStyle w:val="BodyText"/>
        <w:spacing w:after="0" w:line="249" w:lineRule="auto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spacing w:before="0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438" w:val="left" w:leader="none"/>
        </w:tabs>
        <w:spacing w:before="132"/>
        <w:ind w:left="113"/>
      </w:pPr>
      <w:r>
        <w:rPr/>
        <w:t>Data de disponibilização: 15 de agosto de </w:t>
      </w:r>
      <w:r>
        <w:rPr>
          <w:spacing w:val="-4"/>
        </w:rPr>
        <w:t>2025</w:t>
      </w:r>
      <w:r>
        <w:rPr/>
        <w:tab/>
        <w:t>Edição nº </w:t>
      </w:r>
      <w:r>
        <w:rPr>
          <w:spacing w:val="-4"/>
        </w:rPr>
        <w:t>1423</w:t>
      </w:r>
    </w:p>
    <w:p>
      <w:pPr>
        <w:pStyle w:val="BodyText"/>
        <w:spacing w:before="0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080;mso-wrap-distance-left:0;mso-wrap-distance-right:0" id="docshape11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94"/>
        <w:ind w:left="0"/>
      </w:pPr>
    </w:p>
    <w:p>
      <w:pPr>
        <w:pStyle w:val="BodyText"/>
        <w:spacing w:line="249" w:lineRule="auto" w:before="0"/>
        <w:ind w:right="257"/>
      </w:pPr>
      <w:r>
        <w:rPr/>
        <w:t>–incentivar a implementação de um ambiente adequado à inovação, que assegure a participação ativa de membros, servidores</w:t>
      </w:r>
      <w:r>
        <w:rPr>
          <w:spacing w:val="40"/>
        </w:rPr>
        <w:t> </w:t>
      </w:r>
      <w:r>
        <w:rPr/>
        <w:t>e colaboradores na elaboração de soluções voltadas às necessidades locais;</w:t>
      </w:r>
    </w:p>
    <w:p>
      <w:pPr>
        <w:pStyle w:val="BodyText"/>
        <w:spacing w:line="249" w:lineRule="auto" w:before="2"/>
      </w:pPr>
      <w:r>
        <w:rPr/>
        <w:t>–impulsionar o surgimento, a efetivação e a aceleração de ideias criativas, com foco nas pessoas e na melhoria contínua dos</w:t>
      </w:r>
      <w:r>
        <w:rPr>
          <w:spacing w:val="40"/>
        </w:rPr>
        <w:t> </w:t>
      </w:r>
      <w:r>
        <w:rPr/>
        <w:t>serviços oferecidos à sociedade pelas unidades do Ministério Público do Estado de Alagoas;</w:t>
      </w:r>
    </w:p>
    <w:p>
      <w:pPr>
        <w:pStyle w:val="BodyText"/>
        <w:spacing w:before="1"/>
      </w:pPr>
      <w:r>
        <w:rPr/>
        <w:t>–fortalecer a cultura da </w:t>
      </w:r>
      <w:r>
        <w:rPr>
          <w:spacing w:val="-2"/>
        </w:rPr>
        <w:t>inovação;</w:t>
      </w:r>
    </w:p>
    <w:p>
      <w:pPr>
        <w:pStyle w:val="BodyText"/>
      </w:pPr>
      <w:r>
        <w:rPr/>
        <w:t>–promover o desenvolvimento das competências institucionais por meio de abordagens </w:t>
      </w:r>
      <w:r>
        <w:rPr>
          <w:spacing w:val="-2"/>
        </w:rPr>
        <w:t>inovadoras;</w:t>
      </w:r>
    </w:p>
    <w:p>
      <w:pPr>
        <w:pStyle w:val="BodyText"/>
        <w:spacing w:line="249" w:lineRule="auto"/>
      </w:pPr>
      <w:r>
        <w:rPr/>
        <w:t>–estimular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adoção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tecnologias</w:t>
      </w:r>
      <w:r>
        <w:rPr>
          <w:spacing w:val="25"/>
        </w:rPr>
        <w:t> </w:t>
      </w:r>
      <w:r>
        <w:rPr/>
        <w:t>capazes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aumentar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eficiência</w:t>
      </w:r>
      <w:r>
        <w:rPr>
          <w:spacing w:val="25"/>
        </w:rPr>
        <w:t> </w:t>
      </w:r>
      <w:r>
        <w:rPr/>
        <w:t>do</w:t>
      </w:r>
      <w:r>
        <w:rPr>
          <w:spacing w:val="25"/>
        </w:rPr>
        <w:t> </w:t>
      </w:r>
      <w:r>
        <w:rPr/>
        <w:t>trabalho</w:t>
      </w:r>
      <w:r>
        <w:rPr>
          <w:spacing w:val="25"/>
        </w:rPr>
        <w:t> </w:t>
      </w:r>
      <w:r>
        <w:rPr/>
        <w:t>e</w:t>
      </w:r>
      <w:r>
        <w:rPr>
          <w:spacing w:val="25"/>
        </w:rPr>
        <w:t> </w:t>
      </w:r>
      <w:r>
        <w:rPr/>
        <w:t>incrementar</w:t>
      </w:r>
      <w:r>
        <w:rPr>
          <w:spacing w:val="25"/>
        </w:rPr>
        <w:t> </w:t>
      </w:r>
      <w:r>
        <w:rPr/>
        <w:t>o</w:t>
      </w:r>
      <w:r>
        <w:rPr>
          <w:spacing w:val="25"/>
        </w:rPr>
        <w:t> </w:t>
      </w:r>
      <w:r>
        <w:rPr/>
        <w:t>acesso</w:t>
      </w:r>
      <w:r>
        <w:rPr>
          <w:spacing w:val="25"/>
        </w:rPr>
        <w:t> </w:t>
      </w:r>
      <w:r>
        <w:rPr/>
        <w:t>da</w:t>
      </w:r>
      <w:r>
        <w:rPr>
          <w:spacing w:val="25"/>
        </w:rPr>
        <w:t> </w:t>
      </w:r>
      <w:r>
        <w:rPr/>
        <w:t>sociedade</w:t>
      </w:r>
      <w:r>
        <w:rPr>
          <w:spacing w:val="25"/>
        </w:rPr>
        <w:t> </w:t>
      </w:r>
      <w:r>
        <w:rPr/>
        <w:t>ao Ministério Público;</w:t>
      </w:r>
    </w:p>
    <w:p>
      <w:pPr>
        <w:pStyle w:val="BodyText"/>
        <w:spacing w:line="249" w:lineRule="auto" w:before="2"/>
      </w:pPr>
      <w:r>
        <w:rPr/>
        <w:t>–incentivar</w:t>
      </w:r>
      <w:r>
        <w:rPr>
          <w:spacing w:val="37"/>
        </w:rPr>
        <w:t> </w:t>
      </w:r>
      <w:r>
        <w:rPr/>
        <w:t>a</w:t>
      </w:r>
      <w:r>
        <w:rPr>
          <w:spacing w:val="37"/>
        </w:rPr>
        <w:t> </w:t>
      </w:r>
      <w:r>
        <w:rPr/>
        <w:t>cooperação</w:t>
      </w:r>
      <w:r>
        <w:rPr>
          <w:spacing w:val="37"/>
        </w:rPr>
        <w:t> </w:t>
      </w:r>
      <w:r>
        <w:rPr/>
        <w:t>com</w:t>
      </w:r>
      <w:r>
        <w:rPr>
          <w:spacing w:val="37"/>
        </w:rPr>
        <w:t> </w:t>
      </w:r>
      <w:r>
        <w:rPr/>
        <w:t>órgãos</w:t>
      </w:r>
      <w:r>
        <w:rPr>
          <w:spacing w:val="37"/>
        </w:rPr>
        <w:t> </w:t>
      </w:r>
      <w:r>
        <w:rPr/>
        <w:t>públicos,</w:t>
      </w:r>
      <w:r>
        <w:rPr>
          <w:spacing w:val="37"/>
        </w:rPr>
        <w:t> </w:t>
      </w:r>
      <w:r>
        <w:rPr/>
        <w:t>instituições</w:t>
      </w:r>
      <w:r>
        <w:rPr>
          <w:spacing w:val="37"/>
        </w:rPr>
        <w:t> </w:t>
      </w:r>
      <w:r>
        <w:rPr/>
        <w:t>e</w:t>
      </w:r>
      <w:r>
        <w:rPr>
          <w:spacing w:val="37"/>
        </w:rPr>
        <w:t> </w:t>
      </w:r>
      <w:r>
        <w:rPr/>
        <w:t>organizações</w:t>
      </w:r>
      <w:r>
        <w:rPr>
          <w:spacing w:val="37"/>
        </w:rPr>
        <w:t> </w:t>
      </w:r>
      <w:r>
        <w:rPr/>
        <w:t>para</w:t>
      </w:r>
      <w:r>
        <w:rPr>
          <w:spacing w:val="37"/>
        </w:rPr>
        <w:t> </w:t>
      </w:r>
      <w:r>
        <w:rPr/>
        <w:t>o</w:t>
      </w:r>
      <w:r>
        <w:rPr>
          <w:spacing w:val="37"/>
        </w:rPr>
        <w:t> </w:t>
      </w:r>
      <w:r>
        <w:rPr/>
        <w:t>desenvolvimento</w:t>
      </w:r>
      <w:r>
        <w:rPr>
          <w:spacing w:val="37"/>
        </w:rPr>
        <w:t> </w:t>
      </w:r>
      <w:r>
        <w:rPr/>
        <w:t>conjunto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iniciativas tecnológicas de interesse comum;</w:t>
      </w:r>
    </w:p>
    <w:p>
      <w:pPr>
        <w:pStyle w:val="BodyText"/>
        <w:spacing w:line="249" w:lineRule="auto" w:before="1"/>
        <w:ind w:right="257"/>
      </w:pPr>
      <w:r>
        <w:rPr/>
        <w:t>–otimizar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utilização</w:t>
      </w:r>
      <w:r>
        <w:rPr>
          <w:spacing w:val="-3"/>
        </w:rPr>
        <w:t> </w:t>
      </w:r>
      <w:r>
        <w:rPr/>
        <w:t>dos</w:t>
      </w:r>
      <w:r>
        <w:rPr>
          <w:spacing w:val="-3"/>
        </w:rPr>
        <w:t> </w:t>
      </w:r>
      <w:r>
        <w:rPr/>
        <w:t>recursos</w:t>
      </w:r>
      <w:r>
        <w:rPr>
          <w:spacing w:val="-3"/>
        </w:rPr>
        <w:t> </w:t>
      </w:r>
      <w:r>
        <w:rPr/>
        <w:t>financeiros,</w:t>
      </w:r>
      <w:r>
        <w:rPr>
          <w:spacing w:val="-3"/>
        </w:rPr>
        <w:t> </w:t>
      </w:r>
      <w:r>
        <w:rPr/>
        <w:t>orçamentais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pessoais</w:t>
      </w:r>
      <w:r>
        <w:rPr>
          <w:spacing w:val="-3"/>
        </w:rPr>
        <w:t> </w:t>
      </w:r>
      <w:r>
        <w:rPr/>
        <w:t>por</w:t>
      </w:r>
      <w:r>
        <w:rPr>
          <w:spacing w:val="-3"/>
        </w:rPr>
        <w:t> </w:t>
      </w:r>
      <w:r>
        <w:rPr/>
        <w:t>meio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soluções</w:t>
      </w:r>
      <w:r>
        <w:rPr>
          <w:spacing w:val="-3"/>
        </w:rPr>
        <w:t> </w:t>
      </w:r>
      <w:r>
        <w:rPr/>
        <w:t>inovadoras. Art. 3º O Programa de Inovação da Ministério Público do Estado de Alagoas é norteado pelos seguintes princípios:</w:t>
      </w:r>
    </w:p>
    <w:p>
      <w:pPr>
        <w:pStyle w:val="BodyText"/>
        <w:spacing w:line="249" w:lineRule="auto" w:before="2"/>
        <w:ind w:right="48"/>
      </w:pPr>
      <w:r>
        <w:rPr/>
        <w:t>–Centralidade nas pessoas: busca assegurar que os pontos de vista de todos os envolvidos sejam considerados, promovendo valor, engajamento e dando ênfase à diversidade de competências, utilizando-se de empatia e escuta ativa;</w:t>
      </w:r>
    </w:p>
    <w:p>
      <w:pPr>
        <w:pStyle w:val="BodyText"/>
        <w:spacing w:line="249" w:lineRule="auto" w:before="1"/>
      </w:pPr>
      <w:r>
        <w:rPr/>
        <w:t>–Trabalho</w:t>
      </w:r>
      <w:r>
        <w:rPr>
          <w:spacing w:val="34"/>
        </w:rPr>
        <w:t> </w:t>
      </w:r>
      <w:r>
        <w:rPr/>
        <w:t>colaborativo:</w:t>
      </w:r>
      <w:r>
        <w:rPr>
          <w:spacing w:val="34"/>
        </w:rPr>
        <w:t> </w:t>
      </w:r>
      <w:r>
        <w:rPr/>
        <w:t>as</w:t>
      </w:r>
      <w:r>
        <w:rPr>
          <w:spacing w:val="34"/>
        </w:rPr>
        <w:t> </w:t>
      </w:r>
      <w:r>
        <w:rPr/>
        <w:t>soluções</w:t>
      </w:r>
      <w:r>
        <w:rPr>
          <w:spacing w:val="34"/>
        </w:rPr>
        <w:t> </w:t>
      </w:r>
      <w:r>
        <w:rPr/>
        <w:t>devem</w:t>
      </w:r>
      <w:r>
        <w:rPr>
          <w:spacing w:val="34"/>
        </w:rPr>
        <w:t> </w:t>
      </w:r>
      <w:r>
        <w:rPr/>
        <w:t>ser</w:t>
      </w:r>
      <w:r>
        <w:rPr>
          <w:spacing w:val="34"/>
        </w:rPr>
        <w:t> </w:t>
      </w:r>
      <w:r>
        <w:rPr/>
        <w:t>desenvolvidas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forma</w:t>
      </w:r>
      <w:r>
        <w:rPr>
          <w:spacing w:val="34"/>
        </w:rPr>
        <w:t> </w:t>
      </w:r>
      <w:r>
        <w:rPr/>
        <w:t>conjunta,</w:t>
      </w:r>
      <w:r>
        <w:rPr>
          <w:spacing w:val="34"/>
        </w:rPr>
        <w:t> </w:t>
      </w:r>
      <w:r>
        <w:rPr/>
        <w:t>com</w:t>
      </w:r>
      <w:r>
        <w:rPr>
          <w:spacing w:val="34"/>
        </w:rPr>
        <w:t> </w:t>
      </w:r>
      <w:r>
        <w:rPr/>
        <w:t>participação</w:t>
      </w:r>
      <w:r>
        <w:rPr>
          <w:spacing w:val="34"/>
        </w:rPr>
        <w:t> </w:t>
      </w:r>
      <w:r>
        <w:rPr/>
        <w:t>de</w:t>
      </w:r>
      <w:r>
        <w:rPr>
          <w:spacing w:val="34"/>
        </w:rPr>
        <w:t> </w:t>
      </w:r>
      <w:r>
        <w:rPr/>
        <w:t>diferentes</w:t>
      </w:r>
      <w:r>
        <w:rPr>
          <w:spacing w:val="34"/>
        </w:rPr>
        <w:t> </w:t>
      </w:r>
      <w:r>
        <w:rPr/>
        <w:t>áreas</w:t>
      </w:r>
      <w:r>
        <w:rPr>
          <w:spacing w:val="34"/>
        </w:rPr>
        <w:t> </w:t>
      </w:r>
      <w:r>
        <w:rPr/>
        <w:t>do conhecimento, setores e níveis hierárquicos, valorizando a horizontalidade no processo;</w:t>
      </w:r>
    </w:p>
    <w:p>
      <w:pPr>
        <w:pStyle w:val="BodyText"/>
        <w:spacing w:line="249" w:lineRule="auto" w:before="2"/>
      </w:pPr>
      <w:r>
        <w:rPr/>
        <w:t>–Inovação criativa: deve-se estimular ideias criativas que contribuam para melhorias na qualidade e na eficiência das atividades </w:t>
      </w:r>
      <w:r>
        <w:rPr>
          <w:spacing w:val="-2"/>
        </w:rPr>
        <w:t>desempenhadas;</w:t>
      </w:r>
    </w:p>
    <w:p>
      <w:pPr>
        <w:pStyle w:val="BodyText"/>
        <w:spacing w:line="249" w:lineRule="auto" w:before="1"/>
      </w:pPr>
      <w:r>
        <w:rPr/>
        <w:t>–Prática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testes:</w:t>
      </w:r>
      <w:r>
        <w:rPr>
          <w:spacing w:val="40"/>
        </w:rPr>
        <w:t> </w:t>
      </w:r>
      <w:r>
        <w:rPr/>
        <w:t>incentivar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realização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testes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experimentações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ambientes</w:t>
      </w:r>
      <w:r>
        <w:rPr>
          <w:spacing w:val="40"/>
        </w:rPr>
        <w:t> </w:t>
      </w:r>
      <w:r>
        <w:rPr/>
        <w:t>controlados,</w:t>
      </w:r>
      <w:r>
        <w:rPr>
          <w:spacing w:val="40"/>
        </w:rPr>
        <w:t> </w:t>
      </w:r>
      <w:r>
        <w:rPr/>
        <w:t>acelerando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curva</w:t>
      </w:r>
      <w:r>
        <w:rPr>
          <w:spacing w:val="40"/>
        </w:rPr>
        <w:t> </w:t>
      </w:r>
      <w:r>
        <w:rPr/>
        <w:t>de aprendizado, facilitando a detecção de falhas e minimizando os custos de implementação;</w:t>
      </w:r>
    </w:p>
    <w:p>
      <w:pPr>
        <w:pStyle w:val="BodyText"/>
        <w:spacing w:line="249" w:lineRule="auto" w:before="2"/>
      </w:pPr>
      <w:r>
        <w:rPr/>
        <w:t>–Processo de experimentação como fundamento da inovação: falhas durante o desenvolvimento de soluções inovadoras são naturais e fazem parte dos ciclos iterativos de criação, devendo considerá-las como oportunidades valiosas de aprendizado;</w:t>
      </w:r>
    </w:p>
    <w:p>
      <w:pPr>
        <w:pStyle w:val="BodyText"/>
        <w:spacing w:line="249" w:lineRule="auto" w:before="1"/>
      </w:pPr>
      <w:r>
        <w:rPr/>
        <w:t>–Interesse social como destinatário final: toda proposta, ainda que voltada ao público interno, deve atender, de forma direta ou indireta, às necessidades e expectativas da sociedade.</w:t>
      </w:r>
    </w:p>
    <w:p>
      <w:pPr>
        <w:pStyle w:val="BodyText"/>
        <w:spacing w:before="2"/>
      </w:pPr>
      <w:r>
        <w:rPr/>
        <w:t>Art. 4º Constituem ferramentas do Programa de Inovação do Ministério Público do Estado de </w:t>
      </w:r>
      <w:r>
        <w:rPr>
          <w:spacing w:val="-2"/>
        </w:rPr>
        <w:t>Alagoas:</w:t>
      </w:r>
    </w:p>
    <w:p>
      <w:pPr>
        <w:pStyle w:val="BodyText"/>
      </w:pPr>
      <w:r>
        <w:rPr/>
        <w:t>–ações de comunicação voltadas à promoção e ao fortalecimento da cultura de </w:t>
      </w:r>
      <w:r>
        <w:rPr>
          <w:spacing w:val="-2"/>
        </w:rPr>
        <w:t>inovação;</w:t>
      </w:r>
    </w:p>
    <w:p>
      <w:pPr>
        <w:pStyle w:val="BodyText"/>
      </w:pPr>
      <w:r>
        <w:rPr/>
        <w:t>–treinamentos, cursos e outras atividades </w:t>
      </w:r>
      <w:r>
        <w:rPr>
          <w:spacing w:val="-2"/>
        </w:rPr>
        <w:t>formativas;</w:t>
      </w:r>
    </w:p>
    <w:p>
      <w:pPr>
        <w:pStyle w:val="BodyText"/>
      </w:pPr>
      <w:r>
        <w:rPr/>
        <w:t>–pesquisas e levantamentos para diagnóstico de contextos e </w:t>
      </w:r>
      <w:r>
        <w:rPr>
          <w:spacing w:val="-2"/>
        </w:rPr>
        <w:t>necessidades;</w:t>
      </w:r>
    </w:p>
    <w:p>
      <w:pPr>
        <w:pStyle w:val="BodyText"/>
      </w:pPr>
      <w:r>
        <w:rPr/>
        <w:t>–eventos internos e externos relacionados à temática da </w:t>
      </w:r>
      <w:r>
        <w:rPr>
          <w:spacing w:val="-2"/>
        </w:rPr>
        <w:t>inovação;</w:t>
      </w:r>
    </w:p>
    <w:p>
      <w:pPr>
        <w:pStyle w:val="BodyText"/>
      </w:pPr>
      <w:r>
        <w:rPr/>
        <w:t>–oficinas para desenvolvimento de serviços ou criação de </w:t>
      </w:r>
      <w:r>
        <w:rPr>
          <w:spacing w:val="-2"/>
        </w:rPr>
        <w:t>soluções;</w:t>
      </w:r>
    </w:p>
    <w:p>
      <w:pPr>
        <w:pStyle w:val="BodyText"/>
      </w:pPr>
      <w:r>
        <w:rPr/>
        <w:t>–grupos de estudo e equipes de trabalho </w:t>
      </w:r>
      <w:r>
        <w:rPr>
          <w:spacing w:val="-2"/>
        </w:rPr>
        <w:t>temáticas.</w:t>
      </w:r>
    </w:p>
    <w:p>
      <w:pPr>
        <w:pStyle w:val="BodyText"/>
        <w:spacing w:line="249" w:lineRule="auto"/>
        <w:ind w:right="230"/>
        <w:jc w:val="both"/>
      </w:pPr>
      <w:r>
        <w:rPr/>
        <w:t>Art.5º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implementação</w:t>
      </w:r>
      <w:r>
        <w:rPr>
          <w:spacing w:val="-1"/>
        </w:rPr>
        <w:t> </w:t>
      </w:r>
      <w:r>
        <w:rPr/>
        <w:t>dos</w:t>
      </w:r>
      <w:r>
        <w:rPr>
          <w:spacing w:val="-1"/>
        </w:rPr>
        <w:t> </w:t>
      </w:r>
      <w:r>
        <w:rPr/>
        <w:t>objetivos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acesso</w:t>
      </w:r>
      <w:r>
        <w:rPr>
          <w:spacing w:val="-1"/>
        </w:rPr>
        <w:t> </w:t>
      </w:r>
      <w:r>
        <w:rPr/>
        <w:t>aos</w:t>
      </w:r>
      <w:r>
        <w:rPr>
          <w:spacing w:val="-1"/>
        </w:rPr>
        <w:t> </w:t>
      </w:r>
      <w:r>
        <w:rPr/>
        <w:t>instrumentos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Programa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Inovação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 Alagoas serão viabilizados por meio do Laboratório de Inovação do MPE/AL (MPLab), cuja criação formal será efetivada com a publicação deste Ato e conforme suas disposições.</w:t>
      </w:r>
    </w:p>
    <w:p>
      <w:pPr>
        <w:pStyle w:val="BodyText"/>
        <w:spacing w:line="249" w:lineRule="auto" w:before="2"/>
        <w:ind w:right="228"/>
      </w:pPr>
      <w:r>
        <w:rPr/>
        <w:t>Art.</w:t>
      </w:r>
      <w:r>
        <w:rPr>
          <w:spacing w:val="70"/>
        </w:rPr>
        <w:t> </w:t>
      </w:r>
      <w:r>
        <w:rPr/>
        <w:t>6º</w:t>
      </w:r>
      <w:r>
        <w:rPr>
          <w:spacing w:val="70"/>
        </w:rPr>
        <w:t> </w:t>
      </w:r>
      <w:r>
        <w:rPr/>
        <w:t>O</w:t>
      </w:r>
      <w:r>
        <w:rPr>
          <w:spacing w:val="70"/>
        </w:rPr>
        <w:t> </w:t>
      </w:r>
      <w:r>
        <w:rPr/>
        <w:t>MPLab,</w:t>
      </w:r>
      <w:r>
        <w:rPr>
          <w:spacing w:val="70"/>
        </w:rPr>
        <w:t> </w:t>
      </w:r>
      <w:r>
        <w:rPr/>
        <w:t>conforme</w:t>
      </w:r>
      <w:r>
        <w:rPr>
          <w:spacing w:val="70"/>
        </w:rPr>
        <w:t> </w:t>
      </w:r>
      <w:r>
        <w:rPr/>
        <w:t>atribuições</w:t>
      </w:r>
      <w:r>
        <w:rPr>
          <w:spacing w:val="70"/>
        </w:rPr>
        <w:t> </w:t>
      </w:r>
      <w:r>
        <w:rPr/>
        <w:t>estabelecidas</w:t>
      </w:r>
      <w:r>
        <w:rPr>
          <w:spacing w:val="70"/>
        </w:rPr>
        <w:t> </w:t>
      </w:r>
      <w:r>
        <w:rPr/>
        <w:t>no</w:t>
      </w:r>
      <w:r>
        <w:rPr>
          <w:spacing w:val="70"/>
        </w:rPr>
        <w:t> </w:t>
      </w:r>
      <w:r>
        <w:rPr/>
        <w:t>artigo</w:t>
      </w:r>
      <w:r>
        <w:rPr>
          <w:spacing w:val="70"/>
        </w:rPr>
        <w:t> </w:t>
      </w:r>
      <w:r>
        <w:rPr/>
        <w:t>anterior,</w:t>
      </w:r>
      <w:r>
        <w:rPr>
          <w:spacing w:val="70"/>
        </w:rPr>
        <w:t> </w:t>
      </w:r>
      <w:r>
        <w:rPr/>
        <w:t>configura-se</w:t>
      </w:r>
      <w:r>
        <w:rPr>
          <w:spacing w:val="70"/>
        </w:rPr>
        <w:t> </w:t>
      </w:r>
      <w:r>
        <w:rPr/>
        <w:t>como</w:t>
      </w:r>
      <w:r>
        <w:rPr>
          <w:spacing w:val="70"/>
        </w:rPr>
        <w:t> </w:t>
      </w:r>
      <w:r>
        <w:rPr/>
        <w:t>um</w:t>
      </w:r>
      <w:r>
        <w:rPr>
          <w:spacing w:val="70"/>
        </w:rPr>
        <w:t> </w:t>
      </w:r>
      <w:r>
        <w:rPr/>
        <w:t>espaço</w:t>
      </w:r>
      <w:r>
        <w:rPr>
          <w:spacing w:val="70"/>
        </w:rPr>
        <w:t> </w:t>
      </w:r>
      <w:r>
        <w:rPr/>
        <w:t>destinado</w:t>
      </w:r>
      <w:r>
        <w:rPr>
          <w:spacing w:val="70"/>
        </w:rPr>
        <w:t> </w:t>
      </w:r>
      <w:r>
        <w:rPr/>
        <w:t>ao desenvolvimento de produtos e serviços inovadores, bem como à promoção da cultura da inovação, por meio da aplicação de métodos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estimulem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interação,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cocriação,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empatia,</w:t>
      </w:r>
      <w:r>
        <w:rPr>
          <w:spacing w:val="40"/>
        </w:rPr>
        <w:t> </w:t>
      </w:r>
      <w:r>
        <w:rPr/>
        <w:t>o</w:t>
      </w:r>
      <w:r>
        <w:rPr>
          <w:spacing w:val="40"/>
        </w:rPr>
        <w:t> </w:t>
      </w:r>
      <w:r>
        <w:rPr/>
        <w:t>compartilhamento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conhecimento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prototipação.</w:t>
      </w:r>
      <w:r>
        <w:rPr>
          <w:spacing w:val="40"/>
        </w:rPr>
        <w:t> </w:t>
      </w:r>
      <w:r>
        <w:rPr/>
        <w:t>Tais atividades contarão com a participação de membros, servidores e demais colaboradores, internos ou externos ao MPE/AL.</w:t>
      </w:r>
      <w:r>
        <w:rPr>
          <w:spacing w:val="80"/>
        </w:rPr>
        <w:t> </w:t>
      </w:r>
      <w:r>
        <w:rPr/>
        <w:t>Art.7º</w:t>
      </w:r>
      <w:r>
        <w:rPr>
          <w:spacing w:val="32"/>
        </w:rPr>
        <w:t> </w:t>
      </w:r>
      <w:r>
        <w:rPr/>
        <w:t>As</w:t>
      </w:r>
      <w:r>
        <w:rPr>
          <w:spacing w:val="32"/>
        </w:rPr>
        <w:t> </w:t>
      </w:r>
      <w:r>
        <w:rPr/>
        <w:t>ações</w:t>
      </w:r>
      <w:r>
        <w:rPr>
          <w:spacing w:val="32"/>
        </w:rPr>
        <w:t> </w:t>
      </w:r>
      <w:r>
        <w:rPr/>
        <w:t>desenvolvidas</w:t>
      </w:r>
      <w:r>
        <w:rPr>
          <w:spacing w:val="32"/>
        </w:rPr>
        <w:t> </w:t>
      </w:r>
      <w:r>
        <w:rPr/>
        <w:t>pelo</w:t>
      </w:r>
      <w:r>
        <w:rPr>
          <w:spacing w:val="32"/>
        </w:rPr>
        <w:t> </w:t>
      </w:r>
      <w:r>
        <w:rPr/>
        <w:t>MPLab</w:t>
      </w:r>
      <w:r>
        <w:rPr>
          <w:spacing w:val="32"/>
        </w:rPr>
        <w:t> </w:t>
      </w:r>
      <w:r>
        <w:rPr/>
        <w:t>poderão</w:t>
      </w:r>
      <w:r>
        <w:rPr>
          <w:spacing w:val="32"/>
        </w:rPr>
        <w:t> </w:t>
      </w:r>
      <w:r>
        <w:rPr/>
        <w:t>fazer</w:t>
      </w:r>
      <w:r>
        <w:rPr>
          <w:spacing w:val="32"/>
        </w:rPr>
        <w:t> </w:t>
      </w:r>
      <w:r>
        <w:rPr/>
        <w:t>uso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sistemas</w:t>
      </w:r>
      <w:r>
        <w:rPr>
          <w:spacing w:val="32"/>
        </w:rPr>
        <w:t> </w:t>
      </w:r>
      <w:r>
        <w:rPr/>
        <w:t>e</w:t>
      </w:r>
      <w:r>
        <w:rPr>
          <w:spacing w:val="32"/>
        </w:rPr>
        <w:t> </w:t>
      </w:r>
      <w:r>
        <w:rPr/>
        <w:t>ferramentas</w:t>
      </w:r>
      <w:r>
        <w:rPr>
          <w:spacing w:val="32"/>
        </w:rPr>
        <w:t> </w:t>
      </w:r>
      <w:r>
        <w:rPr/>
        <w:t>digitais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comunicação,</w:t>
      </w:r>
      <w:r>
        <w:rPr>
          <w:spacing w:val="32"/>
        </w:rPr>
        <w:t> </w:t>
      </w:r>
      <w:r>
        <w:rPr/>
        <w:t>edição, apresentação,</w:t>
      </w:r>
      <w:r>
        <w:rPr>
          <w:spacing w:val="40"/>
        </w:rPr>
        <w:t> </w:t>
      </w:r>
      <w:r>
        <w:rPr/>
        <w:t>armazenamento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desenvolvimento</w:t>
      </w:r>
      <w:r>
        <w:rPr>
          <w:spacing w:val="40"/>
        </w:rPr>
        <w:t> </w:t>
      </w:r>
      <w:r>
        <w:rPr/>
        <w:t>—</w:t>
      </w:r>
      <w:r>
        <w:rPr>
          <w:spacing w:val="40"/>
        </w:rPr>
        <w:t> </w:t>
      </w:r>
      <w:r>
        <w:rPr/>
        <w:t>sejam</w:t>
      </w:r>
      <w:r>
        <w:rPr>
          <w:spacing w:val="40"/>
        </w:rPr>
        <w:t> </w:t>
      </w:r>
      <w:r>
        <w:rPr/>
        <w:t>elas</w:t>
      </w:r>
      <w:r>
        <w:rPr>
          <w:spacing w:val="40"/>
        </w:rPr>
        <w:t> </w:t>
      </w:r>
      <w:r>
        <w:rPr/>
        <w:t>institucionais</w:t>
      </w:r>
      <w:r>
        <w:rPr>
          <w:spacing w:val="40"/>
        </w:rPr>
        <w:t> </w:t>
      </w:r>
      <w:r>
        <w:rPr/>
        <w:t>ou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terceiros</w:t>
      </w:r>
      <w:r>
        <w:rPr>
          <w:spacing w:val="40"/>
        </w:rPr>
        <w:t> </w:t>
      </w:r>
      <w:r>
        <w:rPr/>
        <w:t>—</w:t>
      </w:r>
      <w:r>
        <w:rPr>
          <w:spacing w:val="40"/>
        </w:rPr>
        <w:t> </w:t>
      </w:r>
      <w:r>
        <w:rPr/>
        <w:t>desde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estejam</w:t>
      </w:r>
      <w:r>
        <w:rPr>
          <w:spacing w:val="40"/>
        </w:rPr>
        <w:t> </w:t>
      </w:r>
      <w:r>
        <w:rPr/>
        <w:t>em conformidade com as normas e políticas específicas estabelecidas no âmbito do MPE/AL.</w:t>
      </w:r>
    </w:p>
    <w:p>
      <w:pPr>
        <w:pStyle w:val="BodyText"/>
        <w:spacing w:line="249" w:lineRule="auto" w:before="5"/>
      </w:pPr>
      <w:r>
        <w:rPr/>
        <w:t>Art.</w:t>
      </w:r>
      <w:r>
        <w:rPr>
          <w:spacing w:val="-1"/>
        </w:rPr>
        <w:t> </w:t>
      </w:r>
      <w:r>
        <w:rPr/>
        <w:t>8º</w:t>
      </w:r>
      <w:r>
        <w:rPr>
          <w:spacing w:val="-1"/>
        </w:rPr>
        <w:t> </w:t>
      </w:r>
      <w:r>
        <w:rPr/>
        <w:t>São</w:t>
      </w:r>
      <w:r>
        <w:rPr>
          <w:spacing w:val="-1"/>
        </w:rPr>
        <w:t> </w:t>
      </w:r>
      <w:r>
        <w:rPr/>
        <w:t>considerados</w:t>
      </w:r>
      <w:r>
        <w:rPr>
          <w:spacing w:val="-1"/>
        </w:rPr>
        <w:t> </w:t>
      </w:r>
      <w:r>
        <w:rPr/>
        <w:t>serviços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MPLab,</w:t>
      </w:r>
      <w:r>
        <w:rPr>
          <w:spacing w:val="-1"/>
        </w:rPr>
        <w:t> </w:t>
      </w:r>
      <w:r>
        <w:rPr/>
        <w:t>sem</w:t>
      </w:r>
      <w:r>
        <w:rPr>
          <w:spacing w:val="-1"/>
        </w:rPr>
        <w:t> </w:t>
      </w:r>
      <w:r>
        <w:rPr/>
        <w:t>prejuízo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incorporação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outras</w:t>
      </w:r>
      <w:r>
        <w:rPr>
          <w:spacing w:val="-1"/>
        </w:rPr>
        <w:t> </w:t>
      </w:r>
      <w:r>
        <w:rPr/>
        <w:t>iniciativas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venham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ser</w:t>
      </w:r>
      <w:r>
        <w:rPr>
          <w:spacing w:val="-1"/>
        </w:rPr>
        <w:t> </w:t>
      </w:r>
      <w:r>
        <w:rPr/>
        <w:t>consideradas pertinentes ao interesse institucional do MPE/AL:</w:t>
      </w: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9" w:lineRule="auto" w:before="2" w:after="0"/>
        <w:ind w:left="234" w:right="229" w:firstLine="0"/>
        <w:jc w:val="left"/>
        <w:rPr>
          <w:sz w:val="18"/>
        </w:rPr>
      </w:pPr>
      <w:r>
        <w:rPr>
          <w:sz w:val="18"/>
        </w:rPr>
        <w:t>– apoio e facilitação de processos voltados à criação de soluções inovadoras para demandas locais, utilizando metodologias</w:t>
      </w:r>
      <w:r>
        <w:rPr>
          <w:spacing w:val="40"/>
          <w:sz w:val="18"/>
        </w:rPr>
        <w:t> </w:t>
      </w:r>
      <w:r>
        <w:rPr>
          <w:sz w:val="18"/>
        </w:rPr>
        <w:t>e técnicas colaborativas e ágeis;</w:t>
      </w:r>
    </w:p>
    <w:p>
      <w:pPr>
        <w:pStyle w:val="ListParagraph"/>
        <w:numPr>
          <w:ilvl w:val="0"/>
          <w:numId w:val="1"/>
        </w:numPr>
        <w:tabs>
          <w:tab w:pos="394" w:val="left" w:leader="none"/>
        </w:tabs>
        <w:spacing w:line="240" w:lineRule="auto" w:before="1" w:after="0"/>
        <w:ind w:left="394" w:right="0" w:hanging="160"/>
        <w:jc w:val="left"/>
        <w:rPr>
          <w:sz w:val="18"/>
        </w:rPr>
      </w:pPr>
      <w:r>
        <w:rPr>
          <w:sz w:val="18"/>
        </w:rPr>
        <w:t>–promoção e fortalecimento da cultura de inovação no âmbito da </w:t>
      </w:r>
      <w:r>
        <w:rPr>
          <w:spacing w:val="-2"/>
          <w:sz w:val="18"/>
        </w:rPr>
        <w:t>instituição.</w:t>
      </w:r>
    </w:p>
    <w:p>
      <w:pPr>
        <w:pStyle w:val="BodyText"/>
        <w:spacing w:line="249" w:lineRule="auto"/>
      </w:pPr>
      <w:r>
        <w:rPr/>
        <w:t>Art. 9º O MPLab será vinculado à Comissão de Inovação, que deverá ser constituída através portaria do Procurador-Geral de</w:t>
      </w:r>
      <w:r>
        <w:rPr>
          <w:spacing w:val="40"/>
        </w:rPr>
        <w:t> </w:t>
      </w:r>
      <w:r>
        <w:rPr/>
        <w:t>Justiça e será composta de, no mínimo, três integrantes, dentre membros e servidores, sendo:</w:t>
      </w:r>
    </w:p>
    <w:p>
      <w:pPr>
        <w:pStyle w:val="BodyText"/>
        <w:spacing w:before="2"/>
      </w:pPr>
      <w:r>
        <w:rPr>
          <w:spacing w:val="-2"/>
        </w:rPr>
        <w:t>–Coordenador;</w:t>
      </w:r>
    </w:p>
    <w:p>
      <w:pPr>
        <w:pStyle w:val="BodyText"/>
      </w:pPr>
      <w:r>
        <w:rPr>
          <w:spacing w:val="-2"/>
        </w:rPr>
        <w:t>–Secretário;</w:t>
      </w:r>
    </w:p>
    <w:p>
      <w:pPr>
        <w:pStyle w:val="BodyText"/>
      </w:pPr>
      <w:r>
        <w:rPr/>
        <w:t>–Membro(s) </w:t>
      </w:r>
      <w:r>
        <w:rPr>
          <w:spacing w:val="-2"/>
        </w:rPr>
        <w:t>participante(s);</w:t>
      </w:r>
    </w:p>
    <w:p>
      <w:pPr>
        <w:pStyle w:val="BodyText"/>
      </w:pPr>
      <w:r>
        <w:rPr/>
        <w:t>§1º. O Secretário da Comissão de Inovação atuará como Coordenador do </w:t>
      </w:r>
      <w:r>
        <w:rPr>
          <w:spacing w:val="-2"/>
        </w:rPr>
        <w:t>MPLab;</w:t>
      </w:r>
    </w:p>
    <w:p>
      <w:pPr>
        <w:pStyle w:val="BodyText"/>
      </w:pPr>
      <w:r>
        <w:rPr/>
        <w:t>§2º. O MPLab contará com apoio de residentes, na forma da Resolução CNMP nº 246/2022, assim como </w:t>
      </w:r>
      <w:r>
        <w:rPr>
          <w:spacing w:val="-2"/>
        </w:rPr>
        <w:t>estagiários;</w:t>
      </w:r>
    </w:p>
    <w:p>
      <w:pPr>
        <w:pStyle w:val="BodyText"/>
        <w:spacing w:line="249" w:lineRule="auto"/>
      </w:pPr>
      <w:r>
        <w:rPr/>
        <w:t>§3º.</w:t>
      </w:r>
      <w:r>
        <w:rPr>
          <w:spacing w:val="39"/>
        </w:rPr>
        <w:t> </w:t>
      </w:r>
      <w:r>
        <w:rPr/>
        <w:t>Poderá</w:t>
      </w:r>
      <w:r>
        <w:rPr>
          <w:spacing w:val="39"/>
        </w:rPr>
        <w:t> </w:t>
      </w:r>
      <w:r>
        <w:rPr/>
        <w:t>ser</w:t>
      </w:r>
      <w:r>
        <w:rPr>
          <w:spacing w:val="39"/>
        </w:rPr>
        <w:t> </w:t>
      </w:r>
      <w:r>
        <w:rPr/>
        <w:t>designada</w:t>
      </w:r>
      <w:r>
        <w:rPr>
          <w:spacing w:val="39"/>
        </w:rPr>
        <w:t> </w:t>
      </w:r>
      <w:r>
        <w:rPr/>
        <w:t>força-tarefa,</w:t>
      </w:r>
      <w:r>
        <w:rPr>
          <w:spacing w:val="39"/>
        </w:rPr>
        <w:t> </w:t>
      </w:r>
      <w:r>
        <w:rPr/>
        <w:t>composta</w:t>
      </w:r>
      <w:r>
        <w:rPr>
          <w:spacing w:val="39"/>
        </w:rPr>
        <w:t> </w:t>
      </w:r>
      <w:r>
        <w:rPr/>
        <w:t>por</w:t>
      </w:r>
      <w:r>
        <w:rPr>
          <w:spacing w:val="39"/>
        </w:rPr>
        <w:t> </w:t>
      </w:r>
      <w:r>
        <w:rPr/>
        <w:t>membros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servidores,</w:t>
      </w:r>
      <w:r>
        <w:rPr>
          <w:spacing w:val="39"/>
        </w:rPr>
        <w:t> </w:t>
      </w:r>
      <w:r>
        <w:rPr/>
        <w:t>para</w:t>
      </w:r>
      <w:r>
        <w:rPr>
          <w:spacing w:val="39"/>
        </w:rPr>
        <w:t> </w:t>
      </w:r>
      <w:r>
        <w:rPr/>
        <w:t>desenvolvimento</w:t>
      </w:r>
      <w:r>
        <w:rPr>
          <w:spacing w:val="39"/>
        </w:rPr>
        <w:t> </w:t>
      </w:r>
      <w:r>
        <w:rPr/>
        <w:t>e</w:t>
      </w:r>
      <w:r>
        <w:rPr>
          <w:spacing w:val="39"/>
        </w:rPr>
        <w:t> </w:t>
      </w:r>
      <w:r>
        <w:rPr/>
        <w:t>experimentação</w:t>
      </w:r>
      <w:r>
        <w:rPr>
          <w:spacing w:val="39"/>
        </w:rPr>
        <w:t> </w:t>
      </w:r>
      <w:r>
        <w:rPr/>
        <w:t>de soluções de inovação.</w:t>
      </w:r>
    </w:p>
    <w:p>
      <w:pPr>
        <w:pStyle w:val="BodyText"/>
        <w:spacing w:line="249" w:lineRule="auto" w:before="1"/>
        <w:ind w:right="1111"/>
      </w:pPr>
      <w:r>
        <w:rPr/>
        <w:t>Art.</w:t>
      </w:r>
      <w:r>
        <w:rPr>
          <w:spacing w:val="-3"/>
        </w:rPr>
        <w:t> </w:t>
      </w:r>
      <w:r>
        <w:rPr/>
        <w:t>10º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MPLab</w:t>
      </w:r>
      <w:r>
        <w:rPr>
          <w:spacing w:val="-3"/>
        </w:rPr>
        <w:t> </w:t>
      </w:r>
      <w:r>
        <w:rPr/>
        <w:t>contará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estrutura</w:t>
      </w:r>
      <w:r>
        <w:rPr>
          <w:spacing w:val="-3"/>
        </w:rPr>
        <w:t> </w:t>
      </w:r>
      <w:r>
        <w:rPr/>
        <w:t>física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lógica</w:t>
      </w:r>
      <w:r>
        <w:rPr>
          <w:spacing w:val="-3"/>
        </w:rPr>
        <w:t> </w:t>
      </w:r>
      <w:r>
        <w:rPr/>
        <w:t>para</w:t>
      </w:r>
      <w:r>
        <w:rPr>
          <w:spacing w:val="-3"/>
        </w:rPr>
        <w:t> </w:t>
      </w:r>
      <w:r>
        <w:rPr/>
        <w:t>proporcionar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desenvolvimento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suas</w:t>
      </w:r>
      <w:r>
        <w:rPr>
          <w:spacing w:val="-3"/>
        </w:rPr>
        <w:t> </w:t>
      </w:r>
      <w:r>
        <w:rPr/>
        <w:t>atividades. Art.11. Este Ato entra em vigor na data de sua publicação.</w:t>
      </w:r>
    </w:p>
    <w:p>
      <w:pPr>
        <w:pStyle w:val="BodyText"/>
        <w:spacing w:before="10"/>
        <w:ind w:left="0"/>
      </w:pPr>
    </w:p>
    <w:p>
      <w:pPr>
        <w:pStyle w:val="BodyText"/>
        <w:spacing w:before="1"/>
      </w:pPr>
      <w:r>
        <w:rPr/>
        <w:t>Gabinete do Procurador-Geral de Justiça, em Maceió, 14 de agosto de </w:t>
      </w:r>
      <w:r>
        <w:rPr>
          <w:spacing w:val="-2"/>
        </w:rPr>
        <w:t>2025.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32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5715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5984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5664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0352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5612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lowerLetter"/>
      <w:lvlText w:val="%1)"/>
      <w:lvlJc w:val="left"/>
      <w:pPr>
        <w:ind w:left="234" w:hanging="215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87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92" w:hanging="21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345" w:hanging="21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398" w:hanging="21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451" w:hanging="21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504" w:hanging="21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556" w:hanging="21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09" w:hanging="21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662" w:hanging="215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9"/>
      <w:ind w:left="234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34" w:hanging="160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ind w:left="6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2025-09-08T12:57:28Z</dcterms:created>
  <dcterms:modified xsi:type="dcterms:W3CDTF">2025-09-08T12:57:28Z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2025-09-08T00:00:00Z</vt:filetime>
  </property>
</Properties>
</file>