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2"/>
        <w:rPr>
          <w:rFonts w:ascii="Times New Roman"/>
          <w:sz w:val="20"/>
        </w:rPr>
      </w:pPr>
      <w:r>
        <w:rPr>
          <w:rFonts w:ascii="Times New Roman"/>
          <w:sz w:val="20"/>
        </w:rPr>
        <w:drawing>
          <wp:inline distT="0" distB="0" distL="0" distR="0">
            <wp:extent cx="6689307" cy="786288"/>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9307" cy="786288"/>
                    </a:xfrm>
                    <a:prstGeom prst="rect">
                      <a:avLst/>
                    </a:prstGeom>
                  </pic:spPr>
                </pic:pic>
              </a:graphicData>
            </a:graphic>
          </wp:inline>
        </w:drawing>
      </w:r>
      <w:r>
        <w:rPr>
          <w:rFonts w:ascii="Times New Roman"/>
          <w:sz w:val="20"/>
        </w:rPr>
      </w:r>
    </w:p>
    <w:p>
      <w:pPr>
        <w:pStyle w:val="BodyText"/>
        <w:tabs>
          <w:tab w:pos="8257" w:val="left" w:leader="none"/>
        </w:tabs>
        <w:spacing w:before="132"/>
        <w:ind w:left="113"/>
      </w:pPr>
      <w:r>
        <w:rPr/>
        <w:t>Data de disponibilização: 19 de dezembro de </w:t>
      </w:r>
      <w:r>
        <w:rPr>
          <w:spacing w:val="-4"/>
        </w:rPr>
        <w:t>2024</w:t>
      </w:r>
      <w:r>
        <w:rPr/>
        <w:tab/>
        <w:t>Edição</w:t>
      </w:r>
      <w:r>
        <w:rPr>
          <w:spacing w:val="-2"/>
        </w:rPr>
        <w:t> </w:t>
      </w:r>
      <w:r>
        <w:rPr/>
        <w:t>nº 1274 - </w:t>
      </w:r>
      <w:r>
        <w:rPr>
          <w:spacing w:val="-2"/>
        </w:rPr>
        <w:t>Suplementar</w:t>
      </w:r>
    </w:p>
    <w:p>
      <w:pPr>
        <w:pStyle w:val="BodyText"/>
        <w:rPr>
          <w:sz w:val="12"/>
        </w:rPr>
      </w:pPr>
      <w:r>
        <w:rPr>
          <w:sz w:val="12"/>
        </w:rPr>
        <mc:AlternateContent>
          <mc:Choice Requires="wps">
            <w:drawing>
              <wp:anchor distT="0" distB="0" distL="0" distR="0" allowOverlap="1" layoutInCell="1" locked="0" behindDoc="1" simplePos="0" relativeHeight="487587840">
                <wp:simplePos x="0" y="0"/>
                <wp:positionH relativeFrom="page">
                  <wp:posOffset>431800</wp:posOffset>
                </wp:positionH>
                <wp:positionV relativeFrom="paragraph">
                  <wp:posOffset>103262</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130878pt;width:527pt;height:.1pt;mso-position-horizontal-relative:page;mso-position-vertical-relative:paragraph;z-index:-15728640;mso-wrap-distance-left:0;mso-wrap-distance-right:0" id="docshape3" coordorigin="680,163" coordsize="10540,0" path="m680,163l11220,163e" filled="false" stroked="true" strokeweight=".5pt" strokecolor="#00336a">
                <v:path arrowok="t"/>
                <v:stroke dashstyle="solid"/>
                <w10:wrap type="topAndBottom"/>
              </v:shape>
            </w:pict>
          </mc:Fallback>
        </mc:AlternateContent>
      </w:r>
    </w:p>
    <w:p>
      <w:pPr>
        <w:pStyle w:val="BodyText"/>
        <w:spacing w:before="94"/>
      </w:pPr>
    </w:p>
    <w:p>
      <w:pPr>
        <w:pStyle w:val="BodyText"/>
        <w:spacing w:line="249" w:lineRule="auto"/>
        <w:ind w:left="234" w:right="226"/>
        <w:jc w:val="both"/>
      </w:pPr>
      <w:r>
        <w:rPr/>
        <w:t>do Ministério Público – CSMP, através da Resolução CSMP 2ª instância nº 4/2024, resolve PROMOVER, pelo critério de merecimento, a Dra. SANDRA MALTA PRATA LIMA, Promotora de Justiça titular da 37ª Promotoria de Justiça da Capital, de 3ª entrância, para o 12º Cargo da Procuradoria de Justiça Cível, de 2ª instância. Gabinete do Procurador-Geral de Justiça, em Maceió, 19 de dezembro de 2024.</w:t>
      </w:r>
    </w:p>
    <w:p>
      <w:pPr>
        <w:pStyle w:val="BodyText"/>
        <w:spacing w:before="12"/>
      </w:pPr>
    </w:p>
    <w:p>
      <w:pPr>
        <w:pStyle w:val="BodyText"/>
        <w:ind w:left="234"/>
      </w:pPr>
      <w:r>
        <w:rPr/>
        <w:t>LEAN ANTÔNIO FERREIRA DE </w:t>
      </w:r>
      <w:r>
        <w:rPr>
          <w:spacing w:val="-2"/>
        </w:rPr>
        <w:t>ARAÚJO</w:t>
      </w:r>
    </w:p>
    <w:p>
      <w:pPr>
        <w:pStyle w:val="BodyText"/>
        <w:spacing w:before="9"/>
        <w:ind w:left="234"/>
      </w:pPr>
      <w:r>
        <w:rPr/>
        <w:t>Procurador-Geral de </w:t>
      </w:r>
      <w:r>
        <w:rPr>
          <w:spacing w:val="-2"/>
        </w:rPr>
        <w:t>Justiça</w:t>
      </w:r>
    </w:p>
    <w:p>
      <w:pPr>
        <w:pStyle w:val="BodyText"/>
      </w:pPr>
    </w:p>
    <w:p>
      <w:pPr>
        <w:pStyle w:val="BodyText"/>
        <w:spacing w:before="27"/>
      </w:pPr>
    </w:p>
    <w:p>
      <w:pPr>
        <w:pStyle w:val="BodyText"/>
        <w:ind w:left="234"/>
      </w:pPr>
      <w:r>
        <w:rPr/>
        <w:t>ATO DE PROMOÇÃO Nº </w:t>
      </w:r>
      <w:r>
        <w:rPr>
          <w:spacing w:val="-2"/>
        </w:rPr>
        <w:t>09/2024</w:t>
      </w:r>
    </w:p>
    <w:p>
      <w:pPr>
        <w:pStyle w:val="BodyText"/>
        <w:spacing w:before="18"/>
      </w:pPr>
    </w:p>
    <w:p>
      <w:pPr>
        <w:pStyle w:val="BodyText"/>
        <w:spacing w:line="249" w:lineRule="auto"/>
        <w:ind w:left="234" w:right="210"/>
        <w:jc w:val="both"/>
      </w:pPr>
      <w:r>
        <w:rPr/>
        <w:t>O PROCURADOR-GERAL DE JUSTIÇA DO ESTADO DE ALAGOAS, no uso de suas atribuições legais, especialmente as que lhe são conferidas pelo art. 9º, inciso VI, da Lei Complementar nº15/1996, e tendo em vista o que deliberou o Conselho Superior do Ministério Público – CSMP, através da Resolução CSMP 3ª entrância nº 5/2024, resolve PROMOVER, pelo critério de merecimento, o Dr. IVALDO DA SILVA, Promotor de Justiça titular da 4ª Promotoria de Justiça de Palmeira dos Índios, de 2ª entrância, para a 9ª Promotoria de Justiça de Arapiraca, de 3ª entrância. Gabinete do Procurador-Geral de Justiça, em Maceió, 19 de dezembro de 2024.</w:t>
      </w:r>
    </w:p>
    <w:p>
      <w:pPr>
        <w:pStyle w:val="BodyText"/>
        <w:spacing w:before="14"/>
      </w:pPr>
    </w:p>
    <w:p>
      <w:pPr>
        <w:pStyle w:val="BodyText"/>
        <w:ind w:left="234"/>
      </w:pPr>
      <w:r>
        <w:rPr/>
        <w:t>LEAN ANTÔNIO FERREIRA DE </w:t>
      </w:r>
      <w:r>
        <w:rPr>
          <w:spacing w:val="-2"/>
        </w:rPr>
        <w:t>ARAÚJO</w:t>
      </w:r>
    </w:p>
    <w:p>
      <w:pPr>
        <w:pStyle w:val="BodyText"/>
        <w:spacing w:before="9"/>
        <w:ind w:left="234"/>
      </w:pPr>
      <w:r>
        <w:rPr/>
        <w:t>Procurador-Geral de </w:t>
      </w:r>
      <w:r>
        <w:rPr>
          <w:spacing w:val="-2"/>
        </w:rPr>
        <w:t>Justiça</w:t>
      </w:r>
    </w:p>
    <w:p>
      <w:pPr>
        <w:pStyle w:val="BodyText"/>
      </w:pPr>
    </w:p>
    <w:p>
      <w:pPr>
        <w:pStyle w:val="BodyText"/>
        <w:spacing w:before="27"/>
      </w:pPr>
    </w:p>
    <w:p>
      <w:pPr>
        <w:pStyle w:val="BodyText"/>
        <w:ind w:left="234"/>
      </w:pPr>
      <w:r>
        <w:rPr/>
        <w:t>ATO PGJ Nº </w:t>
      </w:r>
      <w:r>
        <w:rPr>
          <w:spacing w:val="-2"/>
        </w:rPr>
        <w:t>33/2024</w:t>
      </w:r>
    </w:p>
    <w:p>
      <w:pPr>
        <w:pStyle w:val="BodyText"/>
        <w:spacing w:before="18"/>
      </w:pPr>
    </w:p>
    <w:p>
      <w:pPr>
        <w:pStyle w:val="BodyText"/>
        <w:ind w:left="234"/>
      </w:pPr>
      <w:r>
        <w:rPr/>
        <w:t>Disciplina o expediente no Ministério Público do Estado de Alagoas no período do recesso </w:t>
      </w:r>
      <w:r>
        <w:rPr>
          <w:spacing w:val="-2"/>
        </w:rPr>
        <w:t>forense.</w:t>
      </w:r>
    </w:p>
    <w:p>
      <w:pPr>
        <w:pStyle w:val="BodyText"/>
        <w:spacing w:before="18"/>
      </w:pPr>
    </w:p>
    <w:p>
      <w:pPr>
        <w:pStyle w:val="BodyText"/>
        <w:spacing w:line="249" w:lineRule="auto"/>
        <w:ind w:left="234" w:right="209"/>
        <w:jc w:val="both"/>
      </w:pPr>
      <w:r>
        <w:rPr/>
        <w:t>O PROCURADOR-GERAL DE JUSTIÇA DO ESTADO DE ALAGOAS, no uso das atribuições legais que lhe confere o art. 9º, inciso V, da Lei Complementar nº 15, de 22 de novembro de 1996, e</w:t>
      </w:r>
    </w:p>
    <w:p>
      <w:pPr>
        <w:pStyle w:val="BodyText"/>
      </w:pPr>
    </w:p>
    <w:p>
      <w:pPr>
        <w:pStyle w:val="BodyText"/>
        <w:spacing w:before="19"/>
      </w:pPr>
    </w:p>
    <w:p>
      <w:pPr>
        <w:pStyle w:val="BodyText"/>
        <w:spacing w:line="249" w:lineRule="auto"/>
        <w:ind w:left="234" w:right="227"/>
        <w:jc w:val="both"/>
      </w:pPr>
      <w:r>
        <w:rPr/>
        <w:t>CONSIDERANDO que a atuação do Ministério Público será ininterrupta, funcionando, nos dias em que não houver expediente normal, membros em plantão permanente, nos termos do art. 93, XII, combinado com o art. 129, § 4º, da Constituição da República Federativa do Brasil e,</w:t>
      </w:r>
    </w:p>
    <w:p>
      <w:pPr>
        <w:pStyle w:val="BodyText"/>
        <w:spacing w:before="11"/>
      </w:pPr>
    </w:p>
    <w:p>
      <w:pPr>
        <w:pStyle w:val="BodyText"/>
        <w:spacing w:line="249" w:lineRule="auto" w:before="1"/>
        <w:ind w:left="234" w:right="230"/>
        <w:jc w:val="both"/>
      </w:pPr>
      <w:r>
        <w:rPr/>
        <w:t>CONSIDERANDO que o funcionamento ininterrupto do Ministério Público é condição ao pleno acesso à justiça e à efetiva tutela dos direitos, especialmente quando houver urgência na prestação da atividade.</w:t>
      </w:r>
    </w:p>
    <w:p>
      <w:pPr>
        <w:pStyle w:val="BodyText"/>
      </w:pPr>
    </w:p>
    <w:p>
      <w:pPr>
        <w:pStyle w:val="BodyText"/>
        <w:spacing w:before="19"/>
      </w:pPr>
    </w:p>
    <w:p>
      <w:pPr>
        <w:pStyle w:val="BodyText"/>
        <w:ind w:left="234"/>
      </w:pPr>
      <w:r>
        <w:rPr>
          <w:spacing w:val="-2"/>
        </w:rPr>
        <w:t>RESOLVE:</w:t>
      </w:r>
    </w:p>
    <w:p>
      <w:pPr>
        <w:pStyle w:val="BodyText"/>
        <w:spacing w:before="18"/>
      </w:pPr>
    </w:p>
    <w:p>
      <w:pPr>
        <w:pStyle w:val="BodyText"/>
        <w:spacing w:line="249" w:lineRule="auto"/>
        <w:ind w:left="234" w:right="228"/>
        <w:jc w:val="both"/>
      </w:pPr>
      <w:r>
        <w:rPr/>
        <w:t>Art. 1º O expediente do Ministério Público do Estado de Alagoas será mantido para os serviços considerados essenciais ou aqueles que não admitem interrupção no período do recesso forense, compreendido entre 20 de dezembro de 2024 a 1º de janeiro de 2025.</w:t>
      </w:r>
    </w:p>
    <w:p>
      <w:pPr>
        <w:pStyle w:val="BodyText"/>
        <w:spacing w:before="11"/>
      </w:pPr>
    </w:p>
    <w:p>
      <w:pPr>
        <w:pStyle w:val="BodyText"/>
        <w:spacing w:line="249" w:lineRule="auto"/>
        <w:ind w:left="234" w:right="229"/>
        <w:jc w:val="both"/>
      </w:pPr>
      <w:r>
        <w:rPr/>
        <w:t>Parágrafo único. Serão suspensos os prazos constantes de requisições e notificações expedidas no período ora tratado, bem como os prazos administrativos em curso.</w:t>
      </w:r>
    </w:p>
    <w:p>
      <w:pPr>
        <w:pStyle w:val="BodyText"/>
        <w:spacing w:before="11"/>
      </w:pPr>
    </w:p>
    <w:p>
      <w:pPr>
        <w:pStyle w:val="BodyText"/>
        <w:spacing w:line="249" w:lineRule="auto"/>
        <w:ind w:left="234" w:right="230"/>
        <w:jc w:val="both"/>
      </w:pPr>
      <w:r>
        <w:rPr/>
        <w:t>Art. 2º As Promotorias de Justiça da Capital observarão as escalas de plantão do Ministério Público e as Promotorias de Justiça do interior observarão as escalas de plantão correspondentes às varas junto aos quais atuem, conforme o caso.</w:t>
      </w:r>
    </w:p>
    <w:p>
      <w:pPr>
        <w:pStyle w:val="BodyText"/>
        <w:spacing w:before="10"/>
      </w:pPr>
    </w:p>
    <w:p>
      <w:pPr>
        <w:pStyle w:val="BodyText"/>
        <w:spacing w:line="249" w:lineRule="auto"/>
        <w:ind w:left="234" w:right="205"/>
        <w:jc w:val="both"/>
      </w:pPr>
      <w:r>
        <w:rPr/>
        <w:t>Art. 3º O expediente dos serviços administrativos considerados essenciais e aqueles que não admitem interrupção obedecerão, também, às escalas de plantão organizada pela Chefia de Gabinete da Procuradoria Geral de Justiça, Diretoria Geral,</w:t>
      </w:r>
      <w:r>
        <w:rPr>
          <w:spacing w:val="40"/>
        </w:rPr>
        <w:t> </w:t>
      </w:r>
      <w:r>
        <w:rPr/>
        <w:t>Assessoria Militar e NIMP.</w:t>
      </w:r>
    </w:p>
    <w:p>
      <w:pPr>
        <w:pStyle w:val="BodyText"/>
        <w:spacing w:before="11"/>
      </w:pPr>
    </w:p>
    <w:p>
      <w:pPr>
        <w:pStyle w:val="BodyText"/>
        <w:spacing w:line="249" w:lineRule="auto" w:before="1"/>
        <w:ind w:left="234" w:right="230"/>
        <w:jc w:val="both"/>
      </w:pPr>
      <w:r>
        <w:rPr/>
        <w:t>§1º</w:t>
      </w:r>
      <w:r>
        <w:rPr>
          <w:spacing w:val="-2"/>
        </w:rPr>
        <w:t> </w:t>
      </w:r>
      <w:r>
        <w:rPr/>
        <w:t>Os</w:t>
      </w:r>
      <w:r>
        <w:rPr>
          <w:spacing w:val="-2"/>
        </w:rPr>
        <w:t> </w:t>
      </w:r>
      <w:r>
        <w:rPr/>
        <w:t>servidores</w:t>
      </w:r>
      <w:r>
        <w:rPr>
          <w:spacing w:val="-2"/>
        </w:rPr>
        <w:t> </w:t>
      </w:r>
      <w:r>
        <w:rPr/>
        <w:t>não</w:t>
      </w:r>
      <w:r>
        <w:rPr>
          <w:spacing w:val="-2"/>
        </w:rPr>
        <w:t> </w:t>
      </w:r>
      <w:r>
        <w:rPr/>
        <w:t>convocados</w:t>
      </w:r>
      <w:r>
        <w:rPr>
          <w:spacing w:val="-2"/>
        </w:rPr>
        <w:t> </w:t>
      </w:r>
      <w:r>
        <w:rPr/>
        <w:t>para</w:t>
      </w:r>
      <w:r>
        <w:rPr>
          <w:spacing w:val="-2"/>
        </w:rPr>
        <w:t> </w:t>
      </w:r>
      <w:r>
        <w:rPr/>
        <w:t>exercício</w:t>
      </w:r>
      <w:r>
        <w:rPr>
          <w:spacing w:val="-2"/>
        </w:rPr>
        <w:t> </w:t>
      </w:r>
      <w:r>
        <w:rPr/>
        <w:t>durante</w:t>
      </w:r>
      <w:r>
        <w:rPr>
          <w:spacing w:val="-2"/>
        </w:rPr>
        <w:t> </w:t>
      </w:r>
      <w:r>
        <w:rPr/>
        <w:t>o</w:t>
      </w:r>
      <w:r>
        <w:rPr>
          <w:spacing w:val="-2"/>
        </w:rPr>
        <w:t> </w:t>
      </w:r>
      <w:r>
        <w:rPr/>
        <w:t>recesso</w:t>
      </w:r>
      <w:r>
        <w:rPr>
          <w:spacing w:val="-2"/>
        </w:rPr>
        <w:t> </w:t>
      </w:r>
      <w:r>
        <w:rPr/>
        <w:t>permanecerão</w:t>
      </w:r>
      <w:r>
        <w:rPr>
          <w:spacing w:val="-2"/>
        </w:rPr>
        <w:t> </w:t>
      </w:r>
      <w:r>
        <w:rPr/>
        <w:t>de</w:t>
      </w:r>
      <w:r>
        <w:rPr>
          <w:spacing w:val="-2"/>
        </w:rPr>
        <w:t> </w:t>
      </w:r>
      <w:r>
        <w:rPr/>
        <w:t>sobreaviso,</w:t>
      </w:r>
      <w:r>
        <w:rPr>
          <w:spacing w:val="-2"/>
        </w:rPr>
        <w:t> </w:t>
      </w:r>
      <w:r>
        <w:rPr/>
        <w:t>para</w:t>
      </w:r>
      <w:r>
        <w:rPr>
          <w:spacing w:val="-2"/>
        </w:rPr>
        <w:t> </w:t>
      </w:r>
      <w:r>
        <w:rPr/>
        <w:t>quaisquer</w:t>
      </w:r>
      <w:r>
        <w:rPr>
          <w:spacing w:val="-2"/>
        </w:rPr>
        <w:t> </w:t>
      </w:r>
      <w:r>
        <w:rPr/>
        <w:t>necessidades do serviço, consoante determinação prévia do seu superior hierárquico.</w:t>
      </w:r>
    </w:p>
    <w:p>
      <w:pPr>
        <w:pStyle w:val="BodyText"/>
        <w:spacing w:before="10"/>
      </w:pPr>
    </w:p>
    <w:p>
      <w:pPr>
        <w:pStyle w:val="BodyText"/>
        <w:ind w:left="234"/>
      </w:pPr>
      <w:r>
        <w:rPr/>
        <w:t>Art. 4º Em nenhuma hipótese haverá indenização pelos dias trabalhados no período do </w:t>
      </w:r>
      <w:r>
        <w:rPr>
          <w:spacing w:val="-2"/>
        </w:rPr>
        <w:t>recesso.</w:t>
      </w:r>
    </w:p>
    <w:sectPr>
      <w:footerReference w:type="default" r:id="rId5"/>
      <w:type w:val="continuous"/>
      <w:pgSz w:w="11900" w:h="16840"/>
      <w:pgMar w:header="0" w:footer="725" w:top="800" w:bottom="920" w:left="566" w:right="566"/>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5856">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0624"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546368">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770112"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6880">
              <wp:simplePos x="0" y="0"/>
              <wp:positionH relativeFrom="page">
                <wp:posOffset>7015988</wp:posOffset>
              </wp:positionH>
              <wp:positionV relativeFrom="page">
                <wp:posOffset>10235530</wp:posOffset>
              </wp:positionV>
              <wp:extent cx="965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6520" cy="167640"/>
                      </a:xfrm>
                      <a:prstGeom prst="rect">
                        <a:avLst/>
                      </a:prstGeom>
                    </wps:spPr>
                    <wps:txbx>
                      <w:txbxContent>
                        <w:p>
                          <w:pPr>
                            <w:spacing w:before="13"/>
                            <w:ind w:left="20" w:right="0" w:firstLine="0"/>
                            <w:jc w:val="left"/>
                            <w:rPr>
                              <w:rFonts w:ascii="Arial"/>
                              <w:b/>
                              <w:sz w:val="20"/>
                            </w:rPr>
                          </w:pPr>
                          <w:r>
                            <w:rPr>
                              <w:rFonts w:ascii="Arial"/>
                              <w:b/>
                              <w:spacing w:val="-10"/>
                              <w:sz w:val="20"/>
                            </w:rPr>
                            <w:t>2</w:t>
                          </w:r>
                        </w:p>
                      </w:txbxContent>
                    </wps:txbx>
                    <wps:bodyPr wrap="square" lIns="0" tIns="0" rIns="0" bIns="0" rtlCol="0">
                      <a:noAutofit/>
                    </wps:bodyPr>
                  </wps:wsp>
                </a:graphicData>
              </a:graphic>
            </wp:anchor>
          </w:drawing>
        </mc:Choice>
        <mc:Fallback>
          <w:pict>
            <v:shape style="position:absolute;margin-left:552.440002pt;margin-top:805.947266pt;width:7.6pt;height:13.2pt;mso-position-horizontal-relative:page;mso-position-vertical-relative:page;z-index:-15769600" type="#_x0000_t202" id="docshape2" filled="false" stroked="false">
              <v:textbox inset="0,0,0,0">
                <w:txbxContent>
                  <w:p>
                    <w:pPr>
                      <w:spacing w:before="13"/>
                      <w:ind w:left="20" w:right="0" w:firstLine="0"/>
                      <w:jc w:val="left"/>
                      <w:rPr>
                        <w:rFonts w:ascii="Arial"/>
                        <w:b/>
                        <w:sz w:val="20"/>
                      </w:rPr>
                    </w:pPr>
                    <w:r>
                      <w:rPr>
                        <w:rFonts w:ascii="Arial"/>
                        <w:b/>
                        <w:spacing w:val="-10"/>
                        <w:sz w:val="20"/>
                      </w:rPr>
                      <w:t>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Title" w:type="paragraph">
    <w:name w:val="Title"/>
    <w:basedOn w:val="Normal"/>
    <w:uiPriority w:val="1"/>
    <w:qFormat/>
    <w:pPr>
      <w:spacing w:before="13"/>
      <w:ind w:left="20"/>
    </w:pPr>
    <w:rPr>
      <w:rFonts w:ascii="Arial" w:hAnsi="Arial" w:eastAsia="Arial" w:cs="Arial"/>
      <w:b/>
      <w:bCs/>
      <w:sz w:val="20"/>
      <w:szCs w:val="2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2025-07-18T15:54:58Z</dcterms:created>
  <dcterms:modified xsi:type="dcterms:W3CDTF">2025-07-18T15:54:58Z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2025-07-10T00:00:00Z</vt:filetime>
  </property>
</Properties>
</file>