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16 de dezembro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1271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32/2024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/>
      </w:pPr>
      <w:r>
        <w:rPr/>
        <w:t>Disciplina,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exercício</w:t>
      </w:r>
      <w:r>
        <w:rPr>
          <w:spacing w:val="15"/>
        </w:rPr>
        <w:t> </w:t>
      </w:r>
      <w:r>
        <w:rPr/>
        <w:t>2024,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aplicação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Lei</w:t>
      </w:r>
      <w:r>
        <w:rPr>
          <w:spacing w:val="15"/>
        </w:rPr>
        <w:t> </w:t>
      </w:r>
      <w:r>
        <w:rPr/>
        <w:t>Estadual</w:t>
      </w:r>
      <w:r>
        <w:rPr>
          <w:spacing w:val="15"/>
        </w:rPr>
        <w:t> </w:t>
      </w:r>
      <w:r>
        <w:rPr/>
        <w:t>nº</w:t>
      </w:r>
      <w:r>
        <w:rPr>
          <w:spacing w:val="15"/>
        </w:rPr>
        <w:t> </w:t>
      </w:r>
      <w:r>
        <w:rPr/>
        <w:t>8.367,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28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dezembro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2020,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âmbito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Ministério </w:t>
      </w:r>
      <w:r>
        <w:rPr>
          <w:spacing w:val="-2"/>
        </w:rPr>
        <w:t>Público.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9"/>
        <w:jc w:val="both"/>
      </w:pPr>
      <w:r>
        <w:rPr/>
        <w:t>O PROCURADOR-GERAL DE JUSTIÇA DO ESTADO DE ALAGOAS, no uso das atribuições que lhe são conferidas pela Lei Complementar Estadual n. 15, de 22 de novembro de 1996, ao considerar: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2" w:after="0"/>
        <w:ind w:left="334" w:right="0" w:hanging="100"/>
        <w:jc w:val="both"/>
        <w:rPr>
          <w:sz w:val="18"/>
        </w:rPr>
      </w:pPr>
      <w:r>
        <w:rPr>
          <w:sz w:val="18"/>
        </w:rPr>
        <w:t>– o disposto na Lei Estadual nº 8.367, de 28 de dezembro de </w:t>
      </w:r>
      <w:r>
        <w:rPr>
          <w:spacing w:val="-2"/>
          <w:sz w:val="18"/>
        </w:rPr>
        <w:t>2020;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9" w:lineRule="auto" w:before="9" w:after="0"/>
        <w:ind w:left="234" w:right="208" w:firstLine="0"/>
        <w:jc w:val="both"/>
        <w:rPr>
          <w:sz w:val="18"/>
        </w:rPr>
      </w:pPr>
      <w:r>
        <w:rPr>
          <w:sz w:val="18"/>
        </w:rPr>
        <w:t>– a necessidade de aplicar a lei, com a observância dos princípios insculpidos no caput do art. 37 da Constituição Federal, dentro das possibilidades orçamentárias do Ministério Público do Estado de Alagoas;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9" w:lineRule="auto" w:before="1" w:after="0"/>
        <w:ind w:left="234" w:right="226" w:firstLine="0"/>
        <w:jc w:val="both"/>
        <w:rPr>
          <w:sz w:val="18"/>
        </w:rPr>
      </w:pPr>
      <w:r>
        <w:rPr>
          <w:sz w:val="18"/>
        </w:rPr>
        <w:t>– que as disposições da Lei Estadual nº 8.367, de 28 de dezembro de 2020 devem ser levadas a efeito, a critério do Procurador-Geral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Justiça,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modo</w:t>
      </w:r>
      <w:r>
        <w:rPr>
          <w:spacing w:val="-2"/>
          <w:sz w:val="18"/>
        </w:rPr>
        <w:t> </w:t>
      </w:r>
      <w:r>
        <w:rPr>
          <w:sz w:val="18"/>
        </w:rPr>
        <w:t>razoável,</w:t>
      </w:r>
      <w:r>
        <w:rPr>
          <w:spacing w:val="-2"/>
          <w:sz w:val="18"/>
        </w:rPr>
        <w:t> </w:t>
      </w:r>
      <w:r>
        <w:rPr>
          <w:sz w:val="18"/>
        </w:rPr>
        <w:t>proporcional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tendente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promover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igualdade</w:t>
      </w:r>
      <w:r>
        <w:rPr>
          <w:spacing w:val="-2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os</w:t>
      </w:r>
      <w:r>
        <w:rPr>
          <w:spacing w:val="-2"/>
          <w:sz w:val="18"/>
        </w:rPr>
        <w:t> </w:t>
      </w:r>
      <w:r>
        <w:rPr>
          <w:sz w:val="18"/>
        </w:rPr>
        <w:t>membros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Ministério </w:t>
      </w:r>
      <w:r>
        <w:rPr>
          <w:spacing w:val="-2"/>
          <w:sz w:val="18"/>
        </w:rPr>
        <w:t>Público.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17"/>
        <w:jc w:val="both"/>
      </w:pPr>
      <w:r>
        <w:rPr/>
        <w:t>Art. 1º Durante o exercício 2024 somente será deferido o disposto na Lei Estadual nº 8.367/2020, aos membros do Ministério </w:t>
      </w:r>
      <w:r>
        <w:rPr>
          <w:spacing w:val="11"/>
        </w:rPr>
        <w:t>Público</w:t>
      </w:r>
      <w:r>
        <w:rPr>
          <w:spacing w:val="11"/>
        </w:rPr>
        <w:t> </w:t>
      </w:r>
      <w:r>
        <w:rPr/>
        <w:t>que </w:t>
      </w:r>
      <w:r>
        <w:rPr>
          <w:spacing w:val="11"/>
        </w:rPr>
        <w:t>apresentem</w:t>
      </w:r>
      <w:r>
        <w:rPr>
          <w:spacing w:val="11"/>
        </w:rPr>
        <w:t> requerimento</w:t>
      </w:r>
      <w:r>
        <w:rPr>
          <w:spacing w:val="11"/>
        </w:rPr>
        <w:t> </w:t>
      </w:r>
      <w:r>
        <w:rPr>
          <w:spacing w:val="12"/>
        </w:rPr>
        <w:t>fundamentado,</w:t>
      </w:r>
      <w:r>
        <w:rPr>
          <w:spacing w:val="12"/>
        </w:rPr>
        <w:t> </w:t>
      </w:r>
      <w:r>
        <w:rPr/>
        <w:t>até o dia 18 de </w:t>
      </w:r>
      <w:r>
        <w:rPr>
          <w:spacing w:val="11"/>
        </w:rPr>
        <w:t>dezembro</w:t>
      </w:r>
      <w:r>
        <w:rPr>
          <w:spacing w:val="11"/>
        </w:rPr>
        <w:t> </w:t>
      </w:r>
      <w:r>
        <w:rPr>
          <w:spacing w:val="10"/>
        </w:rPr>
        <w:t>2024,</w:t>
      </w:r>
      <w:r>
        <w:rPr>
          <w:spacing w:val="10"/>
        </w:rPr>
        <w:t> </w:t>
      </w:r>
      <w:r>
        <w:rPr/>
        <w:t>por </w:t>
      </w:r>
      <w:r>
        <w:rPr>
          <w:spacing w:val="9"/>
        </w:rPr>
        <w:t>meio</w:t>
      </w:r>
      <w:r>
        <w:rPr>
          <w:spacing w:val="9"/>
        </w:rPr>
        <w:t> </w:t>
      </w:r>
      <w:r>
        <w:rPr/>
        <w:t>do </w:t>
      </w:r>
      <w:r>
        <w:rPr>
          <w:spacing w:val="13"/>
        </w:rPr>
        <w:t>e-mail </w:t>
      </w:r>
      <w:hyperlink r:id="rId8">
        <w:r>
          <w:rPr>
            <w:spacing w:val="-2"/>
          </w:rPr>
          <w:t>ged.gestaodepessoas@mpal.mp.br.</w:t>
        </w:r>
      </w:hyperlink>
    </w:p>
    <w:p>
      <w:pPr>
        <w:pStyle w:val="BodyText"/>
        <w:spacing w:before="11"/>
      </w:pPr>
    </w:p>
    <w:p>
      <w:pPr>
        <w:pStyle w:val="BodyText"/>
        <w:ind w:left="234"/>
        <w:jc w:val="both"/>
      </w:pPr>
      <w:r>
        <w:rPr/>
        <w:t>Art. 2º Este Ato entrará vigor na data da sua </w:t>
      </w:r>
      <w:r>
        <w:rPr>
          <w:spacing w:val="-2"/>
        </w:rPr>
        <w:t>publicação.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  <w:jc w:val="both"/>
      </w:pPr>
      <w:r>
        <w:rPr/>
        <w:t>Gabinete do Procurador-Geral de Justiça, em Maceió, 13 de dezembro 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before="1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ATO DE EXONERAÇÃO Nº </w:t>
      </w:r>
      <w:r>
        <w:rPr>
          <w:spacing w:val="-2"/>
        </w:rPr>
        <w:t>46/2024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179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412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407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ged.gestaodepessoas@mpal.mp.b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2025-07-18T15:55:21Z</dcterms:created>
  <dcterms:modified xsi:type="dcterms:W3CDTF">2025-07-18T15:55:21Z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</Properties>
</file>