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12 de dezembro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1269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/>
              <w:ind w:right="160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8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133" w:right="-15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/>
              <w:ind w:right="181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306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2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39" w:right="592" w:hanging="42"/>
              <w:jc w:val="left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16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right="1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right="1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139" w:right="2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right="13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ind w:right="130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75" w:right="306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31/2024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Dispõe sobre a utilização do Sistema de Investigação de Movimentações Bancárias (SIMBA) no âmbito do Ministério Público do Estado de Alagoas.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34"/>
      </w:pPr>
      <w:r>
        <w:rPr/>
        <w:t>O</w:t>
      </w:r>
      <w:r>
        <w:rPr>
          <w:spacing w:val="10"/>
        </w:rPr>
        <w:t> </w:t>
      </w:r>
      <w:r>
        <w:rPr/>
        <w:t>PROCURADOR</w:t>
      </w:r>
      <w:r>
        <w:rPr>
          <w:spacing w:val="11"/>
        </w:rPr>
        <w:t> </w:t>
      </w:r>
      <w:r>
        <w:rPr/>
        <w:t>GERAL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JUSTIÇA</w:t>
      </w:r>
      <w:r>
        <w:rPr>
          <w:spacing w:val="10"/>
        </w:rPr>
        <w:t> </w:t>
      </w:r>
      <w:r>
        <w:rPr/>
        <w:t>DO</w:t>
      </w:r>
      <w:r>
        <w:rPr>
          <w:spacing w:val="11"/>
        </w:rPr>
        <w:t> </w:t>
      </w:r>
      <w:r>
        <w:rPr/>
        <w:t>MINISTÉRIO</w:t>
      </w:r>
      <w:r>
        <w:rPr>
          <w:spacing w:val="10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ESTADO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ALAGOAS,</w:t>
      </w:r>
      <w:r>
        <w:rPr>
          <w:spacing w:val="10"/>
        </w:rPr>
        <w:t> </w:t>
      </w:r>
      <w:r>
        <w:rPr/>
        <w:t>no</w:t>
      </w:r>
      <w:r>
        <w:rPr>
          <w:spacing w:val="11"/>
        </w:rPr>
        <w:t> </w:t>
      </w:r>
      <w:r>
        <w:rPr/>
        <w:t>uso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suas</w:t>
      </w:r>
      <w:r>
        <w:rPr>
          <w:spacing w:val="11"/>
        </w:rPr>
        <w:t> </w:t>
      </w:r>
      <w:r>
        <w:rPr>
          <w:spacing w:val="-2"/>
        </w:rPr>
        <w:t>atribuições</w:t>
      </w:r>
    </w:p>
    <w:p>
      <w:pPr>
        <w:pStyle w:val="BodyText"/>
        <w:spacing w:before="9"/>
        <w:ind w:left="234"/>
        <w:jc w:val="both"/>
      </w:pPr>
      <w:r>
        <w:rPr/>
        <w:t>legais, especialmente aquelas conferidas pela Lei Complementar Estadual nº 15, de 22 de novembro de 1996, e ao </w:t>
      </w:r>
      <w:r>
        <w:rPr>
          <w:spacing w:val="-2"/>
        </w:rPr>
        <w:t>considerar,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7"/>
        <w:jc w:val="both"/>
      </w:pPr>
      <w:r>
        <w:rPr/>
        <w:t>o disposto nos artigos 127 e 129, da Constituição Federal e no artigo 9º, inciso I, da Lei Orgânica do Ministério Público do</w:t>
      </w:r>
      <w:r>
        <w:rPr>
          <w:spacing w:val="40"/>
        </w:rPr>
        <w:t> </w:t>
      </w:r>
      <w:r>
        <w:rPr/>
        <w:t>Estado de Alagoas;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28"/>
        <w:jc w:val="both"/>
      </w:pPr>
      <w:r>
        <w:rPr/>
        <w:t>o Termo de Cooperação Técnica firmado entre o Ministério Público do Estado de Alagoas e o Ministério Público Federal que</w:t>
      </w:r>
      <w:r>
        <w:rPr>
          <w:spacing w:val="80"/>
        </w:rPr>
        <w:t> </w:t>
      </w:r>
      <w:r>
        <w:rPr/>
        <w:t>visa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utilização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Movimentações</w:t>
      </w:r>
      <w:r>
        <w:rPr>
          <w:spacing w:val="-2"/>
        </w:rPr>
        <w:t> </w:t>
      </w:r>
      <w:r>
        <w:rPr/>
        <w:t>Bancárias</w:t>
      </w:r>
      <w:r>
        <w:rPr>
          <w:spacing w:val="-2"/>
        </w:rPr>
        <w:t> </w:t>
      </w:r>
      <w:r>
        <w:rPr/>
        <w:t>(SIMBA)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finalidade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facilitar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intercâmbio</w:t>
      </w:r>
      <w:r>
        <w:rPr>
          <w:spacing w:val="-2"/>
        </w:rPr>
        <w:t> </w:t>
      </w:r>
      <w:r>
        <w:rPr/>
        <w:t>de informações e o apoio técnico entre os órgãos, respeitando os limites de atuação definidos pelo acordo;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6"/>
        <w:jc w:val="both"/>
      </w:pPr>
      <w:r>
        <w:rPr/>
        <w:t>a</w:t>
      </w:r>
      <w:r>
        <w:rPr>
          <w:spacing w:val="-2"/>
        </w:rPr>
        <w:t> </w:t>
      </w:r>
      <w:r>
        <w:rPr/>
        <w:t>importância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Investigação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Movimentações</w:t>
      </w:r>
      <w:r>
        <w:rPr>
          <w:spacing w:val="-2"/>
        </w:rPr>
        <w:t> </w:t>
      </w:r>
      <w:r>
        <w:rPr/>
        <w:t>Bancárias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SIMBA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ferramenta</w:t>
      </w:r>
      <w:r>
        <w:rPr>
          <w:spacing w:val="-2"/>
        </w:rPr>
        <w:t> </w:t>
      </w:r>
      <w:r>
        <w:rPr/>
        <w:t>tecnológica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combate</w:t>
      </w:r>
      <w:r>
        <w:rPr>
          <w:spacing w:val="-2"/>
        </w:rPr>
        <w:t> </w:t>
      </w:r>
      <w:r>
        <w:rPr/>
        <w:t>à corrupção, à lavagem de dinheiro e à improbidade administrativa, mediante a obtenção, transmissão e análise de dados bancários obtidos por afastamento de sigilo bancário, com autorização judicial;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9"/>
        <w:jc w:val="both"/>
      </w:pPr>
      <w:r>
        <w:rPr/>
        <w:t>a necessidade de garantir a preservação do sigilo dos dados analisados e processados por meio do Sistema de Investigação de Movimentações Bancárias - SIMBA, conforme regulamentação estabelecida pelo Banco Central do Brasil e demais normativas </w:t>
      </w:r>
      <w:r>
        <w:rPr>
          <w:spacing w:val="-2"/>
        </w:rPr>
        <w:t>aplicáveis;</w:t>
      </w:r>
    </w:p>
    <w:p>
      <w:pPr>
        <w:pStyle w:val="BodyText"/>
        <w:spacing w:line="249" w:lineRule="auto" w:before="2"/>
        <w:ind w:left="234" w:right="226"/>
        <w:jc w:val="both"/>
      </w:pPr>
      <w:r>
        <w:rPr/>
        <w:t>a necessidade de normatização para as incumbências dos membros do Ministério Público de Alagoas e do Laboratório de Tecnologia contra Lavagem de Dinheiro - LAB-LD do NGI/SI em relação ao Sistema de Investigação de Movimentações Bancárias – SIMBA;</w:t>
      </w:r>
    </w:p>
    <w:p>
      <w:pPr>
        <w:pStyle w:val="BodyText"/>
        <w:spacing w:before="11"/>
      </w:pPr>
    </w:p>
    <w:p>
      <w:pPr>
        <w:pStyle w:val="BodyText"/>
        <w:spacing w:before="1"/>
        <w:ind w:left="234"/>
      </w:pPr>
      <w:r>
        <w:rPr>
          <w:spacing w:val="-2"/>
        </w:rPr>
        <w:t>RESOLVE: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94"/>
      </w:pPr>
    </w:p>
    <w:p>
      <w:pPr>
        <w:pStyle w:val="BodyText"/>
        <w:spacing w:line="249" w:lineRule="auto"/>
        <w:ind w:left="234" w:right="225"/>
        <w:jc w:val="both"/>
      </w:pPr>
      <w:r>
        <w:rPr/>
        <w:t>Art. 1º. Estabelecer no Laboratório de Tecnologia Contra Lavagem de Dinheiro – LAB/LD do Núcleo de Gestão da Informação e Segurança Institucional – NGI/SI do Ministério Público do Estado de Alagoas a gestão do Sistema de Investigação de Movimentações</w:t>
      </w:r>
      <w:r>
        <w:rPr>
          <w:spacing w:val="-2"/>
        </w:rPr>
        <w:t> </w:t>
      </w:r>
      <w:r>
        <w:rPr/>
        <w:t>Bancárias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SIMBA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ferramenta</w:t>
      </w:r>
      <w:r>
        <w:rPr>
          <w:spacing w:val="-2"/>
        </w:rPr>
        <w:t> </w:t>
      </w:r>
      <w:r>
        <w:rPr/>
        <w:t>essencial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auxílio</w:t>
      </w:r>
      <w:r>
        <w:rPr>
          <w:spacing w:val="-2"/>
        </w:rPr>
        <w:t> </w:t>
      </w:r>
      <w:r>
        <w:rPr/>
        <w:t>nas</w:t>
      </w:r>
      <w:r>
        <w:rPr>
          <w:spacing w:val="-2"/>
        </w:rPr>
        <w:t> </w:t>
      </w:r>
      <w:r>
        <w:rPr/>
        <w:t>investigações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envolvam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quebra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sigilo bancário, mediante autorização judicial.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234" w:right="226"/>
        <w:jc w:val="both"/>
      </w:pPr>
      <w:r>
        <w:rPr/>
        <w:t>Art. 2º. A implantação, manutenção, administração e processamento de dados bancários no Sistema de Investigação de Movimentações Bancárias - SIMBA serão realizados sob a Coordenação do NGI/SI, com o apoio técnico da Diretoria de Tecnologia da Informação do Ministério Público do Estado de Alagoas, que designará os servidores para todas as providências quanto à atualização, correções, ajustes, liberações de chaves, autorizações, dentre outros serviços necessários ao bom funcionamento do sistema, os quais o farão através do perfil administrador.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234" w:right="205"/>
        <w:jc w:val="both"/>
      </w:pPr>
      <w:r>
        <w:rPr/>
        <w:t>Art. 3º. O acesso ao Sistema de Investigação de Movimentações Bancárias - SIMBA será conferido a todos os membros do Ministério Público de Alagoas, mediante prévio requerimento à Coordenação do Núcleo de Gestão da Informação e Segurança Institucional – NGI/SI do Ministério Público do Estado de Alagoas, bem como aos servidores da instituição, desde que,</w:t>
      </w:r>
      <w:r>
        <w:rPr>
          <w:spacing w:val="80"/>
        </w:rPr>
        <w:t> </w:t>
      </w:r>
      <w:r>
        <w:rPr/>
        <w:t>precedido de solicitação da chefia imediata ao Núcleo de Gestão da Informação e Segurança Institucional – NGI/SI do Ministério Público do Estado de Alagoas.</w:t>
      </w:r>
    </w:p>
    <w:p>
      <w:pPr>
        <w:pStyle w:val="BodyText"/>
        <w:spacing w:before="12"/>
      </w:pPr>
    </w:p>
    <w:p>
      <w:pPr>
        <w:pStyle w:val="BodyText"/>
        <w:spacing w:line="249" w:lineRule="auto" w:before="1"/>
        <w:ind w:left="234" w:right="226"/>
        <w:jc w:val="both"/>
      </w:pPr>
      <w:r>
        <w:rPr/>
        <w:t>§1º. O uso do sistema é pessoal e intransferível, sendo responsabilidade do membro e do servidor velar pelo sigilo das informações acessadas.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8"/>
        <w:jc w:val="both"/>
      </w:pPr>
      <w:r>
        <w:rPr/>
        <w:t>Art. 4º. O membro do Ministério Público terá acesso ao Sistema de Investigação de Movimentações Bancárias - SIMBA, por</w:t>
      </w:r>
      <w:r>
        <w:rPr>
          <w:spacing w:val="40"/>
        </w:rPr>
        <w:t> </w:t>
      </w:r>
      <w:r>
        <w:rPr/>
        <w:t>meio do perfil de acesso de membro, competindo-lhe exclusivamente: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44" w:val="left" w:leader="none"/>
        </w:tabs>
        <w:spacing w:line="249" w:lineRule="auto" w:before="1" w:after="0"/>
        <w:ind w:left="234" w:right="228" w:firstLine="0"/>
        <w:jc w:val="both"/>
        <w:rPr>
          <w:sz w:val="18"/>
        </w:rPr>
      </w:pPr>
      <w:r>
        <w:rPr>
          <w:sz w:val="18"/>
        </w:rPr>
        <w:t>– a inserção de dados e informações, para efetuar Pedido de Cooperação Técnica e obter o número do caso em momento anterior</w:t>
      </w:r>
      <w:r>
        <w:rPr>
          <w:spacing w:val="-2"/>
          <w:sz w:val="18"/>
        </w:rPr>
        <w:t> </w:t>
      </w:r>
      <w:r>
        <w:rPr>
          <w:sz w:val="18"/>
        </w:rPr>
        <w:t>ao</w:t>
      </w:r>
      <w:r>
        <w:rPr>
          <w:spacing w:val="-2"/>
          <w:sz w:val="18"/>
        </w:rPr>
        <w:t> </w:t>
      </w:r>
      <w:r>
        <w:rPr>
          <w:sz w:val="18"/>
        </w:rPr>
        <w:t>pedido</w:t>
      </w:r>
      <w:r>
        <w:rPr>
          <w:spacing w:val="-2"/>
          <w:sz w:val="18"/>
        </w:rPr>
        <w:t> </w:t>
      </w:r>
      <w:r>
        <w:rPr>
          <w:sz w:val="18"/>
        </w:rPr>
        <w:t>judicial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afastamento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sigilo,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possa</w:t>
      </w:r>
      <w:r>
        <w:rPr>
          <w:spacing w:val="-2"/>
          <w:sz w:val="18"/>
        </w:rPr>
        <w:t> </w:t>
      </w:r>
      <w:r>
        <w:rPr>
          <w:sz w:val="18"/>
        </w:rPr>
        <w:t>informar</w:t>
      </w:r>
      <w:r>
        <w:rPr>
          <w:spacing w:val="-2"/>
          <w:sz w:val="18"/>
        </w:rPr>
        <w:t> </w:t>
      </w:r>
      <w:r>
        <w:rPr>
          <w:sz w:val="18"/>
        </w:rPr>
        <w:t>neste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número</w:t>
      </w:r>
      <w:r>
        <w:rPr>
          <w:spacing w:val="-2"/>
          <w:sz w:val="18"/>
        </w:rPr>
        <w:t> </w:t>
      </w:r>
      <w:r>
        <w:rPr>
          <w:sz w:val="18"/>
        </w:rPr>
        <w:t>do</w:t>
      </w:r>
      <w:r>
        <w:rPr>
          <w:spacing w:val="-2"/>
          <w:sz w:val="18"/>
        </w:rPr>
        <w:t> </w:t>
      </w:r>
      <w:r>
        <w:rPr>
          <w:sz w:val="18"/>
        </w:rPr>
        <w:t>caso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2"/>
          <w:sz w:val="18"/>
        </w:rPr>
        <w:t> </w:t>
      </w:r>
      <w:r>
        <w:rPr>
          <w:sz w:val="18"/>
        </w:rPr>
        <w:t>ter</w:t>
      </w:r>
      <w:r>
        <w:rPr>
          <w:spacing w:val="-2"/>
          <w:sz w:val="18"/>
        </w:rPr>
        <w:t> </w:t>
      </w:r>
      <w:r>
        <w:rPr>
          <w:sz w:val="18"/>
        </w:rPr>
        <w:t>acesso</w:t>
      </w:r>
      <w:r>
        <w:rPr>
          <w:spacing w:val="-2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</w:t>
      </w:r>
      <w:r>
        <w:rPr>
          <w:sz w:val="18"/>
        </w:rPr>
        <w:t>metodologia indispensável ao recebimento dos dados que serão transmitidos pelos entes obrigados;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acompanhar e alterar os casos no </w:t>
      </w:r>
      <w:r>
        <w:rPr>
          <w:spacing w:val="-2"/>
          <w:sz w:val="18"/>
        </w:rPr>
        <w:t>sistema.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8"/>
        <w:jc w:val="both"/>
      </w:pPr>
      <w:r>
        <w:rPr/>
        <w:t>§1º - Para fins de inclusão de caso no Sistema de Investigação de Movimentações Bancárias - SIMBA será necessário que membro do Ministério Público do Estado de Alagoas cumpra, ao menos, uma das seguintes condições: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- esteja na presidência de procedimento investigatório criminal ou cível, previamente instaurado, que apresente a necessidade de quebra de sigilo bancário de pessoa sob investigação, atendidos aos requisitos legais e regulamentares sobre a matéria;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esteja</w:t>
      </w:r>
      <w:r>
        <w:rPr>
          <w:spacing w:val="-2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z w:val="18"/>
        </w:rPr>
        <w:t>condução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ação</w:t>
      </w:r>
      <w:r>
        <w:rPr>
          <w:spacing w:val="-2"/>
          <w:sz w:val="18"/>
        </w:rPr>
        <w:t> </w:t>
      </w:r>
      <w:r>
        <w:rPr>
          <w:sz w:val="18"/>
        </w:rPr>
        <w:t>penal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apresente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necessidade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quebra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sigilo</w:t>
      </w:r>
      <w:r>
        <w:rPr>
          <w:spacing w:val="-2"/>
          <w:sz w:val="18"/>
        </w:rPr>
        <w:t> </w:t>
      </w:r>
      <w:r>
        <w:rPr>
          <w:sz w:val="18"/>
        </w:rPr>
        <w:t>bancário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pessoa</w:t>
      </w:r>
      <w:r>
        <w:rPr>
          <w:spacing w:val="-2"/>
          <w:sz w:val="18"/>
        </w:rPr>
        <w:t> </w:t>
      </w:r>
      <w:r>
        <w:rPr>
          <w:sz w:val="18"/>
        </w:rPr>
        <w:t>sob</w:t>
      </w:r>
      <w:r>
        <w:rPr>
          <w:spacing w:val="-2"/>
          <w:sz w:val="18"/>
        </w:rPr>
        <w:t> </w:t>
      </w:r>
      <w:r>
        <w:rPr>
          <w:sz w:val="18"/>
        </w:rPr>
        <w:t>investigação</w:t>
      </w:r>
      <w:r>
        <w:rPr>
          <w:spacing w:val="-2"/>
          <w:sz w:val="18"/>
        </w:rPr>
        <w:t> </w:t>
      </w:r>
      <w:r>
        <w:rPr>
          <w:sz w:val="18"/>
        </w:rPr>
        <w:t>em caráter incidental, atendidos aos requisitos legais e regulamentares sobre a matéria.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§2º - O membro do Ministério Público responsável </w:t>
      </w:r>
      <w:r>
        <w:rPr>
          <w:spacing w:val="-2"/>
        </w:rPr>
        <w:t>poderá: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337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autorizar outros usuários, previamente cadastrados, a acessarem o caso sob sua responsabilidade, como: membro, analista ou assessor, visando o acompanhamento do caso, análise dos dados e elaboração de relatórios.;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modificar ou revogar, a qualquer tempo, a autorização referida no inciso </w:t>
      </w:r>
      <w:r>
        <w:rPr>
          <w:spacing w:val="-2"/>
          <w:sz w:val="18"/>
        </w:rPr>
        <w:t>anterior;</w:t>
      </w:r>
    </w:p>
    <w:p>
      <w:pPr>
        <w:pStyle w:val="ListParagraph"/>
        <w:numPr>
          <w:ilvl w:val="0"/>
          <w:numId w:val="3"/>
        </w:numPr>
        <w:tabs>
          <w:tab w:pos="436" w:val="left" w:leader="none"/>
        </w:tabs>
        <w:spacing w:line="249" w:lineRule="auto" w:before="9" w:after="0"/>
        <w:ind w:left="234" w:right="230" w:firstLine="0"/>
        <w:jc w:val="both"/>
        <w:rPr>
          <w:sz w:val="18"/>
        </w:rPr>
      </w:pPr>
      <w:r>
        <w:rPr>
          <w:sz w:val="18"/>
        </w:rPr>
        <w:t>– extrair, após término da quarentena, os dados brutos recebidos dos entes obrigados, os quais efetivam a prova documental decorrente do afastamento do sigilo financeiro, os quais poderão ser juntados ao processo;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9" w:lineRule="auto" w:before="0" w:after="0"/>
        <w:ind w:left="234" w:right="228" w:firstLine="0"/>
        <w:jc w:val="both"/>
        <w:rPr>
          <w:sz w:val="18"/>
        </w:rPr>
      </w:pPr>
      <w:r>
        <w:rPr>
          <w:sz w:val="18"/>
        </w:rPr>
        <w:t>– requerer, após o término da quarentena, apoio técnico ao setor competente, pelo sistema eletrônico disponibilizado </w:t>
      </w:r>
      <w:r>
        <w:rPr>
          <w:sz w:val="18"/>
        </w:rPr>
        <w:t>pelo Ministério Público do Estado de Alagoas.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Art. 5º. O membro do Ministério Público responsável deverá, quando do cadastro, nos respectivos </w:t>
      </w:r>
      <w:r>
        <w:rPr>
          <w:spacing w:val="-2"/>
        </w:rPr>
        <w:t>campos: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Identificar o procedimento investigatório ou o </w:t>
      </w:r>
      <w:r>
        <w:rPr>
          <w:spacing w:val="-2"/>
          <w:sz w:val="18"/>
        </w:rPr>
        <w:t>processo;</w:t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0" w:lineRule="auto" w:before="9" w:after="0"/>
        <w:ind w:left="384" w:right="0" w:hanging="150"/>
        <w:jc w:val="left"/>
        <w:rPr>
          <w:sz w:val="18"/>
        </w:rPr>
      </w:pPr>
      <w:r>
        <w:rPr>
          <w:sz w:val="18"/>
        </w:rPr>
        <w:t>– Fornecer um número para contato </w:t>
      </w:r>
      <w:r>
        <w:rPr>
          <w:spacing w:val="-2"/>
          <w:sz w:val="18"/>
        </w:rPr>
        <w:t>telefônico;</w:t>
      </w: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9" w:after="0"/>
        <w:ind w:left="434" w:right="0" w:hanging="200"/>
        <w:jc w:val="left"/>
        <w:rPr>
          <w:sz w:val="18"/>
        </w:rPr>
      </w:pPr>
      <w:r>
        <w:rPr>
          <w:sz w:val="18"/>
        </w:rPr>
        <w:t>– Preencher o(s) nome(s) e números dos CPF/CNPJ do(s) investigado(s); </w:t>
      </w:r>
      <w:r>
        <w:rPr>
          <w:spacing w:val="-10"/>
          <w:sz w:val="18"/>
        </w:rPr>
        <w:t>e</w:t>
      </w:r>
    </w:p>
    <w:p>
      <w:pPr>
        <w:pStyle w:val="ListParagraph"/>
        <w:numPr>
          <w:ilvl w:val="0"/>
          <w:numId w:val="4"/>
        </w:numPr>
        <w:tabs>
          <w:tab w:pos="454" w:val="left" w:leader="none"/>
        </w:tabs>
        <w:spacing w:line="240" w:lineRule="auto" w:before="9" w:after="0"/>
        <w:ind w:left="454" w:right="0" w:hanging="220"/>
        <w:jc w:val="left"/>
        <w:rPr>
          <w:sz w:val="18"/>
        </w:rPr>
      </w:pPr>
      <w:r>
        <w:rPr>
          <w:sz w:val="18"/>
        </w:rPr>
        <w:t>– Preencher o(s) período(s) de afastamento do sigilo financeiro </w:t>
      </w:r>
      <w:r>
        <w:rPr>
          <w:spacing w:val="-2"/>
          <w:sz w:val="18"/>
        </w:rPr>
        <w:t>requerido(s);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30"/>
        <w:jc w:val="both"/>
      </w:pPr>
      <w:r>
        <w:rPr/>
        <w:t>Art. 6º. O membro do Ministério Público, depois do cadastro do caso, deverá gerar minuta de requerimento a ser utilizada como base para o pedido judicial de afastamento de sigilo.</w:t>
      </w:r>
    </w:p>
    <w:p>
      <w:pPr>
        <w:pStyle w:val="BodyText"/>
        <w:spacing w:after="0" w:line="249" w:lineRule="auto"/>
        <w:jc w:val="both"/>
        <w:sectPr>
          <w:headerReference w:type="default" r:id="rId7"/>
          <w:footerReference w:type="default" r:id="rId8"/>
          <w:pgSz w:w="11900" w:h="16840"/>
          <w:pgMar w:header="799" w:footer="725" w:top="2540" w:bottom="920" w:left="566" w:right="566"/>
        </w:sectPr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ind w:left="234"/>
      </w:pPr>
      <w:r>
        <w:rPr/>
        <w:t>Art. 7º. O membro do Ministério Público responsável quando do deferimento total do pedido </w:t>
      </w:r>
      <w:r>
        <w:rPr>
          <w:spacing w:val="-2"/>
        </w:rPr>
        <w:t>deverá: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analisar a decisão </w:t>
      </w:r>
      <w:r>
        <w:rPr>
          <w:spacing w:val="-2"/>
          <w:sz w:val="18"/>
        </w:rPr>
        <w:t>judicial;</w:t>
      </w:r>
    </w:p>
    <w:p>
      <w:pPr>
        <w:pStyle w:val="ListParagraph"/>
        <w:numPr>
          <w:ilvl w:val="0"/>
          <w:numId w:val="5"/>
        </w:numPr>
        <w:tabs>
          <w:tab w:pos="401" w:val="left" w:leader="none"/>
        </w:tabs>
        <w:spacing w:line="249" w:lineRule="auto" w:before="9" w:after="0"/>
        <w:ind w:left="234" w:right="227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27"/>
          <w:sz w:val="18"/>
        </w:rPr>
        <w:t> </w:t>
      </w:r>
      <w:r>
        <w:rPr>
          <w:sz w:val="18"/>
        </w:rPr>
        <w:t>incluir</w:t>
      </w:r>
      <w:r>
        <w:rPr>
          <w:spacing w:val="27"/>
          <w:sz w:val="18"/>
        </w:rPr>
        <w:t> </w:t>
      </w:r>
      <w:r>
        <w:rPr>
          <w:sz w:val="18"/>
        </w:rPr>
        <w:t>no</w:t>
      </w:r>
      <w:r>
        <w:rPr>
          <w:spacing w:val="27"/>
          <w:sz w:val="18"/>
        </w:rPr>
        <w:t> </w:t>
      </w:r>
      <w:r>
        <w:rPr>
          <w:sz w:val="18"/>
        </w:rPr>
        <w:t>Sistema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Investigação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Movimentações</w:t>
      </w:r>
      <w:r>
        <w:rPr>
          <w:spacing w:val="27"/>
          <w:sz w:val="18"/>
        </w:rPr>
        <w:t> </w:t>
      </w:r>
      <w:r>
        <w:rPr>
          <w:sz w:val="18"/>
        </w:rPr>
        <w:t>Bancárias</w:t>
      </w:r>
      <w:r>
        <w:rPr>
          <w:spacing w:val="27"/>
          <w:sz w:val="18"/>
        </w:rPr>
        <w:t> </w:t>
      </w:r>
      <w:r>
        <w:rPr>
          <w:sz w:val="18"/>
        </w:rPr>
        <w:t>-</w:t>
      </w:r>
      <w:r>
        <w:rPr>
          <w:spacing w:val="27"/>
          <w:sz w:val="18"/>
        </w:rPr>
        <w:t> </w:t>
      </w:r>
      <w:r>
        <w:rPr>
          <w:sz w:val="18"/>
        </w:rPr>
        <w:t>SIMBA</w:t>
      </w:r>
      <w:r>
        <w:rPr>
          <w:spacing w:val="27"/>
          <w:sz w:val="18"/>
        </w:rPr>
        <w:t> </w:t>
      </w:r>
      <w:r>
        <w:rPr>
          <w:sz w:val="18"/>
        </w:rPr>
        <w:t>uma</w:t>
      </w:r>
      <w:r>
        <w:rPr>
          <w:spacing w:val="27"/>
          <w:sz w:val="18"/>
        </w:rPr>
        <w:t> </w:t>
      </w:r>
      <w:r>
        <w:rPr>
          <w:sz w:val="18"/>
        </w:rPr>
        <w:t>cópia</w:t>
      </w:r>
      <w:r>
        <w:rPr>
          <w:spacing w:val="27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decisão</w:t>
      </w:r>
      <w:r>
        <w:rPr>
          <w:spacing w:val="27"/>
          <w:sz w:val="18"/>
        </w:rPr>
        <w:t> </w:t>
      </w:r>
      <w:r>
        <w:rPr>
          <w:sz w:val="18"/>
        </w:rPr>
        <w:t>judicial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do</w:t>
      </w:r>
      <w:r>
        <w:rPr>
          <w:spacing w:val="27"/>
          <w:sz w:val="18"/>
        </w:rPr>
        <w:t> </w:t>
      </w:r>
      <w:r>
        <w:rPr>
          <w:sz w:val="18"/>
        </w:rPr>
        <w:t>protocolo (requisição) SISBAJUD;</w:t>
      </w: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2" w:after="0"/>
        <w:ind w:left="434" w:right="0" w:hanging="200"/>
        <w:jc w:val="left"/>
        <w:rPr>
          <w:sz w:val="18"/>
        </w:rPr>
      </w:pPr>
      <w:r>
        <w:rPr>
          <w:sz w:val="18"/>
        </w:rPr>
        <w:t>– adicionar ao final do campo "Nome do Caso" a expressão: "DEFERIMENTO </w:t>
      </w:r>
      <w:r>
        <w:rPr>
          <w:spacing w:val="-2"/>
          <w:sz w:val="18"/>
        </w:rPr>
        <w:t>TOTAL";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§1º. quando do deferimento parcial do pedido do Ministério Público, o membro </w:t>
      </w:r>
      <w:r>
        <w:rPr>
          <w:spacing w:val="-2"/>
        </w:rPr>
        <w:t>deverá:</w:t>
      </w:r>
    </w:p>
    <w:p>
      <w:pPr>
        <w:pStyle w:val="ListParagraph"/>
        <w:numPr>
          <w:ilvl w:val="0"/>
          <w:numId w:val="6"/>
        </w:numPr>
        <w:tabs>
          <w:tab w:pos="334" w:val="left" w:leader="none"/>
        </w:tabs>
        <w:spacing w:line="240" w:lineRule="auto" w:before="9" w:after="0"/>
        <w:ind w:left="334" w:right="0" w:hanging="100"/>
        <w:jc w:val="left"/>
        <w:rPr>
          <w:sz w:val="18"/>
        </w:rPr>
      </w:pPr>
      <w:r>
        <w:rPr>
          <w:sz w:val="18"/>
        </w:rPr>
        <w:t>– analisar a decisão </w:t>
      </w:r>
      <w:r>
        <w:rPr>
          <w:spacing w:val="-2"/>
          <w:sz w:val="18"/>
        </w:rPr>
        <w:t>judicial;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401" w:val="left" w:leader="none"/>
        </w:tabs>
        <w:spacing w:line="249" w:lineRule="auto" w:before="0" w:after="0"/>
        <w:ind w:left="234" w:right="227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27"/>
          <w:sz w:val="18"/>
        </w:rPr>
        <w:t> </w:t>
      </w:r>
      <w:r>
        <w:rPr>
          <w:sz w:val="18"/>
        </w:rPr>
        <w:t>incluir</w:t>
      </w:r>
      <w:r>
        <w:rPr>
          <w:spacing w:val="27"/>
          <w:sz w:val="18"/>
        </w:rPr>
        <w:t> </w:t>
      </w:r>
      <w:r>
        <w:rPr>
          <w:sz w:val="18"/>
        </w:rPr>
        <w:t>no</w:t>
      </w:r>
      <w:r>
        <w:rPr>
          <w:spacing w:val="27"/>
          <w:sz w:val="18"/>
        </w:rPr>
        <w:t> </w:t>
      </w:r>
      <w:r>
        <w:rPr>
          <w:sz w:val="18"/>
        </w:rPr>
        <w:t>Sistema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Investigação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Movimentações</w:t>
      </w:r>
      <w:r>
        <w:rPr>
          <w:spacing w:val="27"/>
          <w:sz w:val="18"/>
        </w:rPr>
        <w:t> </w:t>
      </w:r>
      <w:r>
        <w:rPr>
          <w:sz w:val="18"/>
        </w:rPr>
        <w:t>Bancárias</w:t>
      </w:r>
      <w:r>
        <w:rPr>
          <w:spacing w:val="27"/>
          <w:sz w:val="18"/>
        </w:rPr>
        <w:t> </w:t>
      </w:r>
      <w:r>
        <w:rPr>
          <w:sz w:val="18"/>
        </w:rPr>
        <w:t>-</w:t>
      </w:r>
      <w:r>
        <w:rPr>
          <w:spacing w:val="27"/>
          <w:sz w:val="18"/>
        </w:rPr>
        <w:t> </w:t>
      </w:r>
      <w:r>
        <w:rPr>
          <w:sz w:val="18"/>
        </w:rPr>
        <w:t>SIMBA</w:t>
      </w:r>
      <w:r>
        <w:rPr>
          <w:spacing w:val="27"/>
          <w:sz w:val="18"/>
        </w:rPr>
        <w:t> </w:t>
      </w:r>
      <w:r>
        <w:rPr>
          <w:sz w:val="18"/>
        </w:rPr>
        <w:t>uma</w:t>
      </w:r>
      <w:r>
        <w:rPr>
          <w:spacing w:val="27"/>
          <w:sz w:val="18"/>
        </w:rPr>
        <w:t> </w:t>
      </w:r>
      <w:r>
        <w:rPr>
          <w:sz w:val="18"/>
        </w:rPr>
        <w:t>cópia</w:t>
      </w:r>
      <w:r>
        <w:rPr>
          <w:spacing w:val="27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decisão</w:t>
      </w:r>
      <w:r>
        <w:rPr>
          <w:spacing w:val="27"/>
          <w:sz w:val="18"/>
        </w:rPr>
        <w:t> </w:t>
      </w:r>
      <w:r>
        <w:rPr>
          <w:sz w:val="18"/>
        </w:rPr>
        <w:t>judicial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do</w:t>
      </w:r>
      <w:r>
        <w:rPr>
          <w:spacing w:val="27"/>
          <w:sz w:val="18"/>
        </w:rPr>
        <w:t> </w:t>
      </w:r>
      <w:r>
        <w:rPr>
          <w:sz w:val="18"/>
        </w:rPr>
        <w:t>protocolo (requisição) SISBAJUD;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adicionar ao final do campo "Nome do Caso" a expressão: "DEFERIMENTO </w:t>
      </w:r>
      <w:r>
        <w:rPr>
          <w:spacing w:val="-2"/>
          <w:sz w:val="18"/>
        </w:rPr>
        <w:t>PARCIAL";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455" w:val="left" w:leader="none"/>
        </w:tabs>
        <w:spacing w:line="249" w:lineRule="auto" w:before="0" w:after="0"/>
        <w:ind w:left="234" w:right="230" w:firstLine="0"/>
        <w:jc w:val="left"/>
        <w:rPr>
          <w:sz w:val="18"/>
        </w:rPr>
      </w:pPr>
      <w:r>
        <w:rPr>
          <w:sz w:val="18"/>
        </w:rPr>
        <w:t>– atualizar os dados do(s) investigado(s) cadastrado(s) no caso, excluindo eventual(ais) investigado(s) que não teve (tiveram) o afastamento de sigilo deferido pela decisão judicial;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6"/>
        </w:numPr>
        <w:tabs>
          <w:tab w:pos="425" w:val="left" w:leader="none"/>
        </w:tabs>
        <w:spacing w:line="249" w:lineRule="auto" w:before="0" w:after="0"/>
        <w:ind w:left="234" w:right="226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40"/>
          <w:sz w:val="18"/>
        </w:rPr>
        <w:t> </w:t>
      </w:r>
      <w:r>
        <w:rPr>
          <w:sz w:val="18"/>
        </w:rPr>
        <w:t>atualizar</w:t>
      </w:r>
      <w:r>
        <w:rPr>
          <w:spacing w:val="40"/>
          <w:sz w:val="18"/>
        </w:rPr>
        <w:t> </w:t>
      </w:r>
      <w:r>
        <w:rPr>
          <w:sz w:val="18"/>
        </w:rPr>
        <w:t>o(s)</w:t>
      </w:r>
      <w:r>
        <w:rPr>
          <w:spacing w:val="40"/>
          <w:sz w:val="18"/>
        </w:rPr>
        <w:t> </w:t>
      </w:r>
      <w:r>
        <w:rPr>
          <w:sz w:val="18"/>
        </w:rPr>
        <w:t>período(s)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afastamento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sigilo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40"/>
          <w:sz w:val="18"/>
        </w:rPr>
        <w:t> </w:t>
      </w:r>
      <w:r>
        <w:rPr>
          <w:sz w:val="18"/>
        </w:rPr>
        <w:t>relação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cada</w:t>
      </w:r>
      <w:r>
        <w:rPr>
          <w:spacing w:val="40"/>
          <w:sz w:val="18"/>
        </w:rPr>
        <w:t> </w:t>
      </w:r>
      <w:r>
        <w:rPr>
          <w:sz w:val="18"/>
        </w:rPr>
        <w:t>investigado,</w:t>
      </w:r>
      <w:r>
        <w:rPr>
          <w:spacing w:val="40"/>
          <w:sz w:val="18"/>
        </w:rPr>
        <w:t> </w:t>
      </w:r>
      <w:r>
        <w:rPr>
          <w:sz w:val="18"/>
        </w:rPr>
        <w:t>se</w:t>
      </w:r>
      <w:r>
        <w:rPr>
          <w:spacing w:val="40"/>
          <w:sz w:val="18"/>
        </w:rPr>
        <w:t> </w:t>
      </w:r>
      <w:r>
        <w:rPr>
          <w:sz w:val="18"/>
        </w:rPr>
        <w:t>o(s)</w:t>
      </w:r>
      <w:r>
        <w:rPr>
          <w:spacing w:val="40"/>
          <w:sz w:val="18"/>
        </w:rPr>
        <w:t> </w:t>
      </w:r>
      <w:r>
        <w:rPr>
          <w:sz w:val="18"/>
        </w:rPr>
        <w:t>período(s)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afastamento autorizado(s) na decisão judicial for(em) diferente(s) do período cadastrado no caso.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§2º. quando do indeferimento do pedido </w:t>
      </w:r>
      <w:r>
        <w:rPr>
          <w:spacing w:val="-2"/>
        </w:rPr>
        <w:t>ministerial: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analisar a decisão </w:t>
      </w:r>
      <w:r>
        <w:rPr>
          <w:spacing w:val="-2"/>
          <w:sz w:val="18"/>
        </w:rPr>
        <w:t>judicial;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401" w:val="left" w:leader="none"/>
        </w:tabs>
        <w:spacing w:line="249" w:lineRule="auto" w:before="1" w:after="0"/>
        <w:ind w:left="234" w:right="227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27"/>
          <w:sz w:val="18"/>
        </w:rPr>
        <w:t> </w:t>
      </w:r>
      <w:r>
        <w:rPr>
          <w:sz w:val="18"/>
        </w:rPr>
        <w:t>incluir</w:t>
      </w:r>
      <w:r>
        <w:rPr>
          <w:spacing w:val="27"/>
          <w:sz w:val="18"/>
        </w:rPr>
        <w:t> </w:t>
      </w:r>
      <w:r>
        <w:rPr>
          <w:sz w:val="18"/>
        </w:rPr>
        <w:t>no</w:t>
      </w:r>
      <w:r>
        <w:rPr>
          <w:spacing w:val="27"/>
          <w:sz w:val="18"/>
        </w:rPr>
        <w:t> </w:t>
      </w:r>
      <w:r>
        <w:rPr>
          <w:sz w:val="18"/>
        </w:rPr>
        <w:t>Sistema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Investigação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Movimentações</w:t>
      </w:r>
      <w:r>
        <w:rPr>
          <w:spacing w:val="27"/>
          <w:sz w:val="18"/>
        </w:rPr>
        <w:t> </w:t>
      </w:r>
      <w:r>
        <w:rPr>
          <w:sz w:val="18"/>
        </w:rPr>
        <w:t>Bancárias</w:t>
      </w:r>
      <w:r>
        <w:rPr>
          <w:spacing w:val="27"/>
          <w:sz w:val="18"/>
        </w:rPr>
        <w:t> </w:t>
      </w:r>
      <w:r>
        <w:rPr>
          <w:sz w:val="18"/>
        </w:rPr>
        <w:t>-</w:t>
      </w:r>
      <w:r>
        <w:rPr>
          <w:spacing w:val="27"/>
          <w:sz w:val="18"/>
        </w:rPr>
        <w:t> </w:t>
      </w:r>
      <w:r>
        <w:rPr>
          <w:sz w:val="18"/>
        </w:rPr>
        <w:t>SIMBA</w:t>
      </w:r>
      <w:r>
        <w:rPr>
          <w:spacing w:val="27"/>
          <w:sz w:val="18"/>
        </w:rPr>
        <w:t> </w:t>
      </w:r>
      <w:r>
        <w:rPr>
          <w:sz w:val="18"/>
        </w:rPr>
        <w:t>uma</w:t>
      </w:r>
      <w:r>
        <w:rPr>
          <w:spacing w:val="27"/>
          <w:sz w:val="18"/>
        </w:rPr>
        <w:t> </w:t>
      </w:r>
      <w:r>
        <w:rPr>
          <w:sz w:val="18"/>
        </w:rPr>
        <w:t>cópia</w:t>
      </w:r>
      <w:r>
        <w:rPr>
          <w:spacing w:val="27"/>
          <w:sz w:val="18"/>
        </w:rPr>
        <w:t> </w:t>
      </w:r>
      <w:r>
        <w:rPr>
          <w:sz w:val="18"/>
        </w:rPr>
        <w:t>da</w:t>
      </w:r>
      <w:r>
        <w:rPr>
          <w:spacing w:val="27"/>
          <w:sz w:val="18"/>
        </w:rPr>
        <w:t> </w:t>
      </w:r>
      <w:r>
        <w:rPr>
          <w:sz w:val="18"/>
        </w:rPr>
        <w:t>decisão</w:t>
      </w:r>
      <w:r>
        <w:rPr>
          <w:spacing w:val="27"/>
          <w:sz w:val="18"/>
        </w:rPr>
        <w:t> </w:t>
      </w:r>
      <w:r>
        <w:rPr>
          <w:sz w:val="18"/>
        </w:rPr>
        <w:t>judicial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do</w:t>
      </w:r>
      <w:r>
        <w:rPr>
          <w:spacing w:val="27"/>
          <w:sz w:val="18"/>
        </w:rPr>
        <w:t> </w:t>
      </w:r>
      <w:r>
        <w:rPr>
          <w:sz w:val="18"/>
        </w:rPr>
        <w:t>protocolo (requisição) SISBAJUD;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adicionar ao final do campo "Nome do Caso" a expressão: </w:t>
      </w:r>
      <w:r>
        <w:rPr>
          <w:spacing w:val="-2"/>
          <w:sz w:val="18"/>
        </w:rPr>
        <w:t>"INDEFERIDO";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§3º. quando dos pedidos de extensão de afastamento de sigilo </w:t>
      </w:r>
      <w:r>
        <w:rPr>
          <w:spacing w:val="-2"/>
        </w:rPr>
        <w:t>financeiro: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8"/>
        </w:numPr>
        <w:tabs>
          <w:tab w:pos="337" w:val="left" w:leader="none"/>
        </w:tabs>
        <w:spacing w:line="249" w:lineRule="auto" w:before="0" w:after="0"/>
        <w:ind w:left="234" w:right="230" w:firstLine="0"/>
        <w:jc w:val="both"/>
        <w:rPr>
          <w:sz w:val="18"/>
        </w:rPr>
      </w:pPr>
      <w:r>
        <w:rPr>
          <w:sz w:val="18"/>
        </w:rPr>
        <w:t>– cadastrar um novo caso específico para o(s) novo(s) investigado(s) ou para a ampliação do(s) período(s) de afastamento de sigilo financeiro;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8"/>
        </w:numPr>
        <w:tabs>
          <w:tab w:pos="384" w:val="left" w:leader="none"/>
        </w:tabs>
        <w:spacing w:line="240" w:lineRule="auto" w:before="1" w:after="0"/>
        <w:ind w:left="384" w:right="0" w:hanging="150"/>
        <w:jc w:val="left"/>
        <w:rPr>
          <w:sz w:val="18"/>
        </w:rPr>
      </w:pPr>
      <w:r>
        <w:rPr>
          <w:sz w:val="18"/>
        </w:rPr>
        <w:t>– adicionar no campo "Nome do Caso" a expressão "EXTENSÃO" seguida do mesmo nome do caso </w:t>
      </w:r>
      <w:r>
        <w:rPr>
          <w:spacing w:val="-2"/>
          <w:sz w:val="18"/>
        </w:rPr>
        <w:t>estendido.</w:t>
      </w:r>
    </w:p>
    <w:p>
      <w:pPr>
        <w:pStyle w:val="BodyText"/>
        <w:spacing w:before="17"/>
      </w:pPr>
    </w:p>
    <w:p>
      <w:pPr>
        <w:pStyle w:val="BodyText"/>
        <w:spacing w:line="249" w:lineRule="auto" w:before="1"/>
        <w:ind w:left="234" w:right="210"/>
        <w:jc w:val="both"/>
      </w:pPr>
      <w:r>
        <w:rPr/>
        <w:t>Art. 8º. No prazo de até 30 dias, o membro que deixar a titularidade de um órgão de execução deverá informar ao novo membro, titular ou designado para a mesma lotação, todos os casos em aberto sob sua responsabilidade.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Parágrafo único. Quando assumir um caso aberto por outro membro, o novo membro titular ou designado deverá avocar a cooperação técnica no Sistema de Investigação de Movimentações Bancárias - SIMBA, tão logo seja informado, no prazo acima </w:t>
      </w:r>
      <w:r>
        <w:rPr>
          <w:spacing w:val="-2"/>
        </w:rPr>
        <w:t>fixado.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6"/>
        <w:jc w:val="both"/>
      </w:pPr>
      <w:r>
        <w:rPr/>
        <w:t>Artigo 9º. O procedimento de quarentena terá o prazo definido pela Coordenação, durante os quais os dados recebidos estarão sob revisão técnica do Laboratório de Tecnologia contra Lavagem de Dinheiro - LAB/LD antes de serem disponibilizados integralmente ao membro responsável.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Parágrafo único. Para efeitos deste Ato, entende-se por “quarentena” o período de análise técnica interna dos dados financeiros recebidos, visando garantir sua conformidade e integridade antes de sua disponibilização total ao membro responsável.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11"/>
        <w:jc w:val="both"/>
      </w:pPr>
      <w:r>
        <w:rPr/>
        <w:t>Art. 10. Compete ao Núcleo de Gestão da Informação e Segurança Institucional – NGI/SI, através do Laboratório de Tecnologia Contra Lavagem de Dinheiro – LAB/LD, o gerenciamento do Sistema de Investigação de Movimentações Bancárias - SIMBA , cabendo a este: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9"/>
        </w:numPr>
        <w:tabs>
          <w:tab w:pos="341" w:val="left" w:leader="none"/>
        </w:tabs>
        <w:spacing w:line="249" w:lineRule="auto" w:before="0" w:after="0"/>
        <w:ind w:left="234" w:right="229" w:firstLine="0"/>
        <w:jc w:val="both"/>
        <w:rPr>
          <w:sz w:val="18"/>
        </w:rPr>
      </w:pPr>
      <w:r>
        <w:rPr>
          <w:sz w:val="18"/>
        </w:rPr>
        <w:t>– representar o Ministério Público de Alagoas nas relações com as instituições participantes do Programa Rede Nacional de Laboratórios de Tecnologia contra a Lavagem de Dinheiro (Programa Rede-Lab);</w:t>
      </w:r>
    </w:p>
    <w:p>
      <w:pPr>
        <w:pStyle w:val="ListParagraph"/>
        <w:spacing w:after="0" w:line="249" w:lineRule="auto"/>
        <w:jc w:val="both"/>
        <w:rPr>
          <w:sz w:val="18"/>
        </w:rPr>
        <w:sectPr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ListParagraph"/>
        <w:numPr>
          <w:ilvl w:val="0"/>
          <w:numId w:val="9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realizar a gestão dos acessos dos membros do Ministério Público de Alagoas e processamentos de </w:t>
      </w:r>
      <w:r>
        <w:rPr>
          <w:spacing w:val="-2"/>
          <w:sz w:val="18"/>
        </w:rPr>
        <w:t>dados;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– garantir a conformidade com as decisões judiciais que autorizam o afastamento do sigilo </w:t>
      </w:r>
      <w:r>
        <w:rPr>
          <w:spacing w:val="-2"/>
          <w:sz w:val="18"/>
        </w:rPr>
        <w:t>bancário;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454" w:val="left" w:leader="none"/>
        </w:tabs>
        <w:spacing w:line="240" w:lineRule="auto" w:before="0" w:after="0"/>
        <w:ind w:left="454" w:right="0" w:hanging="220"/>
        <w:jc w:val="left"/>
        <w:rPr>
          <w:sz w:val="18"/>
        </w:rPr>
      </w:pPr>
      <w:r>
        <w:rPr>
          <w:sz w:val="18"/>
        </w:rPr>
        <w:t>– prestar apoio técnico aos membros do Ministério Público de Alagoas para a utilização adequada do sistema; </w:t>
      </w:r>
      <w:r>
        <w:rPr>
          <w:spacing w:val="-10"/>
          <w:sz w:val="18"/>
        </w:rPr>
        <w:t>e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9"/>
        </w:numPr>
        <w:tabs>
          <w:tab w:pos="426" w:val="left" w:leader="none"/>
        </w:tabs>
        <w:spacing w:line="249" w:lineRule="auto" w:before="0" w:after="0"/>
        <w:ind w:left="234" w:right="226" w:firstLine="0"/>
        <w:jc w:val="both"/>
        <w:rPr>
          <w:sz w:val="18"/>
        </w:rPr>
      </w:pPr>
      <w:r>
        <w:rPr>
          <w:sz w:val="18"/>
        </w:rPr>
        <w:t>– prestar o apoio consistente na análise técnica dos dados recebidos via Sistema de Investigação de Movimentações Bancárias - SIMBA para os fins solicitados.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Art. 11. São deveres dos usuários do Sistema de Investigação de Movimentações Bancárias – </w:t>
      </w:r>
      <w:r>
        <w:rPr>
          <w:spacing w:val="-2"/>
        </w:rPr>
        <w:t>SIMBA: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0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– utilizar as informações do sistema estritamente no cumprimento de suas atribuições </w:t>
      </w:r>
      <w:r>
        <w:rPr>
          <w:spacing w:val="-2"/>
          <w:sz w:val="18"/>
        </w:rPr>
        <w:t>funcionais;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0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– garantir o sigilo das informações acessadas, conforme as normas </w:t>
      </w:r>
      <w:r>
        <w:rPr>
          <w:spacing w:val="-2"/>
          <w:sz w:val="18"/>
        </w:rPr>
        <w:t>aplicáveis.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§1º. Todos que tomarem conhecimento do conteúdo de documento sigiloso, nos termos do presente ato, ficarão responsáveis pela preservação do seu sigilo, sob pena de responsabilização penal, civil e administrativa.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6"/>
        <w:jc w:val="both"/>
      </w:pPr>
      <w:r>
        <w:rPr/>
        <w:t>§2º. O acesso imotivado às informações do Sistema de Investigação de Movimentações Bancárias - SIMBA, assim entendido aquele realizado para fins estranhos às atividades funcionais, poderá ensejar responsabilização no campo administrativo- disciplinar, sem prejuízo dos reflexos nas esferas cível e penal.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234" w:right="228"/>
        <w:jc w:val="both"/>
      </w:pPr>
      <w:r>
        <w:rPr/>
        <w:t>Art. 12. O Laboratório de Tecnologia Contra Lavagem de Dinheiro – LAB/LD implementará auditorias periódicas para garantir a conformidade e segurança no uso do Sistema de Investigação de Movimentações Bancárias - SIMBA, registrando todas as operações e acessos realizados pelos membros e demais usuários autorizados.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9"/>
        <w:jc w:val="both"/>
      </w:pPr>
      <w:r>
        <w:rPr/>
        <w:t>Parágrafo único. O sistema registrará automaticamente os dados de login, data, horário e a natureza da consulta realizada no Sistema de Investigação de Movimentações Bancárias - SIMBA, para fins de auditoria e fiscalização.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7"/>
        <w:jc w:val="both"/>
      </w:pPr>
      <w:r>
        <w:rPr/>
        <w:t>Art. 13. O Laboratório de Tecnologia Contra Lavagem de Dinheiro – LAB/LD disponibilizará manual de utilização do Sistema de Investigação de Movimentações Bancárias – SIMBA, no site institucional do Ministério Público do Estado de Alagoas, com orientações detalhadas aos membros sobre o uso do sistema.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234" w:right="223"/>
        <w:jc w:val="both"/>
      </w:pPr>
      <w:r>
        <w:rPr/>
        <w:t>Parágrafo único. O Núcleo de Gestão da Informação e Segurança Institucional – NGI/SI do Ministério Público do Estado de Alagoas promoverá, periodicamente, treinamentos e atualizações sobre a utilização do Sistema de Investigação de Movimentações Bancárias - SIMBA para garantir a segurança no uso do sistema e o pleno entendimento das funcionalidades e responsabilidades dos usuários.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234" w:right="229"/>
        <w:jc w:val="both"/>
      </w:pPr>
      <w:r>
        <w:rPr/>
        <w:t>Art. 14. Os casos omissos serão resolvidos pelo Procurador-Geral de Justiça do Estado de Alagoas, ouvido o Coordenador do Núcleo de Gestão da Informação e Segurança Institucional – NGI/SI.</w:t>
      </w:r>
    </w:p>
    <w:p>
      <w:pPr>
        <w:pStyle w:val="BodyText"/>
        <w:spacing w:before="10"/>
      </w:pPr>
    </w:p>
    <w:p>
      <w:pPr>
        <w:pStyle w:val="BodyText"/>
        <w:spacing w:line="501" w:lineRule="auto"/>
        <w:ind w:left="234" w:right="4182"/>
      </w:pPr>
      <w:r>
        <w:rPr/>
        <w:t>Art.</w:t>
      </w:r>
      <w:r>
        <w:rPr>
          <w:spacing w:val="-4"/>
        </w:rPr>
        <w:t> </w:t>
      </w:r>
      <w:r>
        <w:rPr/>
        <w:t>15.</w:t>
      </w:r>
      <w:r>
        <w:rPr>
          <w:spacing w:val="-4"/>
        </w:rPr>
        <w:t> </w:t>
      </w:r>
      <w:r>
        <w:rPr/>
        <w:t>Fica</w:t>
      </w:r>
      <w:r>
        <w:rPr>
          <w:spacing w:val="-4"/>
        </w:rPr>
        <w:t> </w:t>
      </w:r>
      <w:r>
        <w:rPr/>
        <w:t>revogado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PGJ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12/2013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outras</w:t>
      </w:r>
      <w:r>
        <w:rPr>
          <w:spacing w:val="-4"/>
        </w:rPr>
        <w:t> </w:t>
      </w:r>
      <w:r>
        <w:rPr/>
        <w:t>disposições</w:t>
      </w:r>
      <w:r>
        <w:rPr>
          <w:spacing w:val="-4"/>
        </w:rPr>
        <w:t> </w:t>
      </w:r>
      <w:r>
        <w:rPr/>
        <w:t>contrárias. Art. 16. Esta Resolução entra em vigor na data de sua publicação.</w:t>
      </w:r>
    </w:p>
    <w:p>
      <w:pPr>
        <w:pStyle w:val="BodyText"/>
        <w:spacing w:line="206" w:lineRule="exact"/>
        <w:ind w:left="234"/>
        <w:jc w:val="both"/>
      </w:pPr>
      <w:r>
        <w:rPr/>
        <w:t>Gabinete do Procurador-Geral de Justiça, em Maceió, 11 de dezembro de </w:t>
      </w:r>
      <w:r>
        <w:rPr>
          <w:spacing w:val="-2"/>
        </w:rPr>
        <w:t>2024.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before="9"/>
        <w:ind w:left="234"/>
      </w:pPr>
      <w:r>
        <w:rPr/>
        <w:t>Procurador-Geral de </w:t>
      </w:r>
      <w:r>
        <w:rPr>
          <w:spacing w:val="-2"/>
        </w:rPr>
        <w:t>Justiça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2"/>
        <w:rPr>
          <w:rFonts w:ascii="Arial"/>
          <w:b/>
        </w:rPr>
      </w:pPr>
    </w:p>
    <w:p>
      <w:pPr>
        <w:pStyle w:val="BodyText"/>
        <w:spacing w:line="249" w:lineRule="auto"/>
        <w:ind w:left="234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11 DE DEZEMBRO DO CORRENTE ANO, OS SEGUINTES PROCESSOS: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Proc: 02.2024.00013360-</w:t>
      </w:r>
      <w:r>
        <w:rPr>
          <w:spacing w:val="-5"/>
        </w:rPr>
        <w:t>1.</w:t>
      </w:r>
    </w:p>
    <w:p>
      <w:pPr>
        <w:pStyle w:val="BodyText"/>
        <w:spacing w:before="9"/>
        <w:ind w:left="234"/>
      </w:pPr>
      <w:r>
        <w:rPr/>
        <w:t>Interessado: 23ª PROMOTORIA DE JUSTIÇA DA </w:t>
      </w:r>
      <w:r>
        <w:rPr>
          <w:spacing w:val="-2"/>
        </w:rPr>
        <w:t>CAPITAL.</w:t>
      </w:r>
    </w:p>
    <w:sectPr>
      <w:pgSz w:w="11900" w:h="16840"/>
      <w:pgMar w:header="799" w:footer="725" w:top="254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7296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92678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2627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371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923200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22688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0720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5248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599055" cy="1536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5990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12 de dezembro de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107.882538pt;width:204.65pt;height:12.1pt;mso-position-horizontal-relative:page;mso-position-vertical-relative:page;z-index:-1592473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12 de dezembro de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6339974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10571pt;margin-top:107.882538pt;width:62.85pt;height:12.1pt;mso-position-horizontal-relative:page;mso-position-vertical-relative:page;z-index:-1592422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1269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234" w:hanging="10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8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234" w:hanging="10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34" w:hanging="10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34" w:hanging="1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1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1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2025-07-18T15:55:41Z</dcterms:created>
  <dcterms:modified xsi:type="dcterms:W3CDTF">2025-07-18T15:55:41Z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2025-07-10T00:00:00Z</vt:filetime>
  </property>
</Properties>
</file>