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52"/>
        <w:rPr>
          <w:rFonts w:ascii="Times New Roman"/>
          <w:sz w:val="20"/>
        </w:rPr>
      </w:pPr>
      <w:r>
        <w:rPr>
          <w:rFonts w:ascii="Times New Roman"/>
          <w:sz w:val="20"/>
        </w:rPr>
        <w:drawing>
          <wp:inline distT="0" distB="0" distL="0" distR="0">
            <wp:extent cx="6686116" cy="786288"/>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6686116" cy="786288"/>
                    </a:xfrm>
                    <a:prstGeom prst="rect">
                      <a:avLst/>
                    </a:prstGeom>
                  </pic:spPr>
                </pic:pic>
              </a:graphicData>
            </a:graphic>
          </wp:inline>
        </w:drawing>
      </w:r>
      <w:r>
        <w:rPr>
          <w:rFonts w:ascii="Times New Roman"/>
          <w:sz w:val="20"/>
        </w:rPr>
      </w:r>
    </w:p>
    <w:p>
      <w:pPr>
        <w:pStyle w:val="BodyText"/>
        <w:tabs>
          <w:tab w:pos="9438" w:val="left" w:leader="none"/>
        </w:tabs>
        <w:spacing w:before="143"/>
        <w:ind w:left="113"/>
      </w:pPr>
      <w:r>
        <w:rPr/>
        <w:t>Data de disponibilização: 18 de outubro de </w:t>
      </w:r>
      <w:r>
        <w:rPr>
          <w:spacing w:val="-4"/>
        </w:rPr>
        <w:t>2024</w:t>
      </w:r>
      <w:r>
        <w:rPr/>
        <w:tab/>
        <w:t>Edição nº </w:t>
      </w:r>
      <w:r>
        <w:rPr>
          <w:spacing w:val="-4"/>
        </w:rPr>
        <w:t>1233</w:t>
      </w:r>
    </w:p>
    <w:p>
      <w:pPr>
        <w:pStyle w:val="BodyText"/>
        <w:rPr>
          <w:sz w:val="12"/>
        </w:rPr>
      </w:pPr>
      <w:r>
        <w:rPr>
          <w:sz w:val="12"/>
        </w:rPr>
        <mc:AlternateContent>
          <mc:Choice Requires="wps">
            <w:drawing>
              <wp:anchor distT="0" distB="0" distL="0" distR="0" allowOverlap="1" layoutInCell="1" locked="0" behindDoc="1" simplePos="0" relativeHeight="487587840">
                <wp:simplePos x="0" y="0"/>
                <wp:positionH relativeFrom="page">
                  <wp:posOffset>431800</wp:posOffset>
                </wp:positionH>
                <wp:positionV relativeFrom="paragraph">
                  <wp:posOffset>103000</wp:posOffset>
                </wp:positionV>
                <wp:extent cx="66929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110282pt;width:527pt;height:.1pt;mso-position-horizontal-relative:page;mso-position-vertical-relative:paragraph;z-index:-15728640;mso-wrap-distance-left:0;mso-wrap-distance-right:0" id="docshape4" coordorigin="680,162" coordsize="10540,0" path="m680,162l11220,162e" filled="false" stroked="true" strokeweight=".5pt" strokecolor="#00336a">
                <v:path arrowok="t"/>
                <v:stroke dashstyle="solid"/>
                <w10:wrap type="topAndBottom"/>
              </v:shape>
            </w:pict>
          </mc:Fallback>
        </mc:AlternateContent>
      </w:r>
    </w:p>
    <w:p>
      <w:pPr>
        <w:pStyle w:val="BodyText"/>
        <w:spacing w:before="16" w:after="1"/>
        <w:rPr>
          <w:sz w:val="20"/>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9"/>
        <w:gridCol w:w="3755"/>
        <w:gridCol w:w="3190"/>
      </w:tblGrid>
      <w:tr>
        <w:trPr>
          <w:trHeight w:val="503" w:hRule="atLeast"/>
        </w:trPr>
        <w:tc>
          <w:tcPr>
            <w:tcW w:w="3369" w:type="dxa"/>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71" w:lineRule="exact" w:before="72"/>
              <w:ind w:right="161"/>
              <w:rPr>
                <w:rFonts w:ascii="Arial" w:hAnsi="Arial"/>
                <w:b/>
                <w:sz w:val="15"/>
              </w:rPr>
            </w:pPr>
            <w:r>
              <w:rPr>
                <w:rFonts w:ascii="Arial" w:hAnsi="Arial"/>
                <w:b/>
                <w:sz w:val="15"/>
              </w:rPr>
              <w:t>LEAN ANTÔNIO FERREIRA DE </w:t>
            </w:r>
            <w:r>
              <w:rPr>
                <w:rFonts w:ascii="Arial" w:hAnsi="Arial"/>
                <w:b/>
                <w:spacing w:val="-2"/>
                <w:sz w:val="15"/>
              </w:rPr>
              <w:t>ARAÚJO</w:t>
            </w:r>
          </w:p>
          <w:p>
            <w:pPr>
              <w:pStyle w:val="TableParagraph"/>
              <w:spacing w:line="171" w:lineRule="exact"/>
              <w:ind w:right="160"/>
              <w:rPr>
                <w:sz w:val="15"/>
              </w:rPr>
            </w:pPr>
            <w:r>
              <w:rPr>
                <w:sz w:val="15"/>
              </w:rPr>
              <w:t>PROCURADOR-GERAL DE </w:t>
            </w:r>
            <w:r>
              <w:rPr>
                <w:spacing w:val="-2"/>
                <w:sz w:val="15"/>
              </w:rPr>
              <w:t>JUSTIÇA</w:t>
            </w:r>
          </w:p>
        </w:tc>
        <w:tc>
          <w:tcPr>
            <w:tcW w:w="3190" w:type="dxa"/>
            <w:tcBorders>
              <w:top w:val="single" w:sz="6" w:space="0" w:color="00336A"/>
              <w:right w:val="single" w:sz="6" w:space="0" w:color="00336A"/>
            </w:tcBorders>
          </w:tcPr>
          <w:p>
            <w:pPr>
              <w:pStyle w:val="TableParagraph"/>
              <w:jc w:val="left"/>
              <w:rPr>
                <w:rFonts w:ascii="Times New Roman"/>
                <w:sz w:val="16"/>
              </w:rPr>
            </w:pPr>
          </w:p>
        </w:tc>
      </w:tr>
      <w:tr>
        <w:trPr>
          <w:trHeight w:val="258" w:hRule="atLeast"/>
        </w:trPr>
        <w:tc>
          <w:tcPr>
            <w:tcW w:w="3369" w:type="dxa"/>
            <w:tcBorders>
              <w:left w:val="single" w:sz="6" w:space="0" w:color="00336A"/>
            </w:tcBorders>
          </w:tcPr>
          <w:p>
            <w:pPr>
              <w:pStyle w:val="TableParagraph"/>
              <w:spacing w:line="153" w:lineRule="exact" w:before="85"/>
              <w:ind w:left="139"/>
              <w:rPr>
                <w:rFonts w:ascii="Arial" w:hAnsi="Arial"/>
                <w:b/>
                <w:sz w:val="15"/>
              </w:rPr>
            </w:pPr>
            <w:r>
              <w:rPr>
                <w:rFonts w:ascii="Arial" w:hAnsi="Arial"/>
                <w:b/>
                <w:sz w:val="15"/>
              </w:rPr>
              <w:t>WALBER JOSÉ VALENTE DE </w:t>
            </w:r>
            <w:r>
              <w:rPr>
                <w:rFonts w:ascii="Arial" w:hAnsi="Arial"/>
                <w:b/>
                <w:spacing w:val="-4"/>
                <w:sz w:val="15"/>
              </w:rPr>
              <w:t>LIMA</w:t>
            </w:r>
          </w:p>
        </w:tc>
        <w:tc>
          <w:tcPr>
            <w:tcW w:w="3755" w:type="dxa"/>
          </w:tcPr>
          <w:p>
            <w:pPr>
              <w:pStyle w:val="TableParagraph"/>
              <w:spacing w:line="153" w:lineRule="exact" w:before="85"/>
              <w:ind w:right="182"/>
              <w:rPr>
                <w:rFonts w:ascii="Arial" w:hAnsi="Arial"/>
                <w:b/>
                <w:sz w:val="15"/>
              </w:rPr>
            </w:pPr>
            <w:r>
              <w:rPr>
                <w:rFonts w:ascii="Arial" w:hAnsi="Arial"/>
                <w:b/>
                <w:sz w:val="15"/>
              </w:rPr>
              <w:t>SÉRGIO ROCHA CAVALCANTI </w:t>
            </w:r>
            <w:r>
              <w:rPr>
                <w:rFonts w:ascii="Arial" w:hAnsi="Arial"/>
                <w:b/>
                <w:spacing w:val="-4"/>
                <w:sz w:val="15"/>
              </w:rPr>
              <w:t>JUCÁ</w:t>
            </w:r>
          </w:p>
        </w:tc>
        <w:tc>
          <w:tcPr>
            <w:tcW w:w="3190" w:type="dxa"/>
            <w:tcBorders>
              <w:right w:val="single" w:sz="6" w:space="0" w:color="00336A"/>
            </w:tcBorders>
          </w:tcPr>
          <w:p>
            <w:pPr>
              <w:pStyle w:val="TableParagraph"/>
              <w:spacing w:line="153" w:lineRule="exact" w:before="85"/>
              <w:ind w:right="306"/>
              <w:rPr>
                <w:rFonts w:ascii="Arial" w:hAnsi="Arial"/>
                <w:b/>
                <w:sz w:val="15"/>
              </w:rPr>
            </w:pPr>
            <w:r>
              <w:rPr>
                <w:rFonts w:ascii="Arial" w:hAnsi="Arial"/>
                <w:b/>
                <w:sz w:val="15"/>
              </w:rPr>
              <w:t>VALTER JOSÉ DE OMENA </w:t>
            </w:r>
            <w:r>
              <w:rPr>
                <w:rFonts w:ascii="Arial" w:hAnsi="Arial"/>
                <w:b/>
                <w:spacing w:val="-2"/>
                <w:sz w:val="15"/>
              </w:rPr>
              <w:t>ACIOLY</w:t>
            </w:r>
          </w:p>
        </w:tc>
      </w:tr>
      <w:tr>
        <w:trPr>
          <w:trHeight w:val="221" w:hRule="atLeast"/>
        </w:trPr>
        <w:tc>
          <w:tcPr>
            <w:tcW w:w="3369" w:type="dxa"/>
            <w:tcBorders>
              <w:left w:val="single" w:sz="6" w:space="0" w:color="00336A"/>
            </w:tcBorders>
          </w:tcPr>
          <w:p>
            <w:pPr>
              <w:pStyle w:val="TableParagraph"/>
              <w:spacing w:line="168" w:lineRule="exact"/>
              <w:ind w:left="133" w:right="-15"/>
              <w:rPr>
                <w:sz w:val="15"/>
              </w:rPr>
            </w:pPr>
            <w:r>
              <w:rPr>
                <w:sz w:val="15"/>
              </w:rPr>
              <w:t>Subprocurador-Geral Administrativo-</w:t>
            </w:r>
            <w:r>
              <w:rPr>
                <w:spacing w:val="-2"/>
                <w:sz w:val="15"/>
              </w:rPr>
              <w:t>Institucional</w:t>
            </w:r>
          </w:p>
        </w:tc>
        <w:tc>
          <w:tcPr>
            <w:tcW w:w="3755" w:type="dxa"/>
          </w:tcPr>
          <w:p>
            <w:pPr>
              <w:pStyle w:val="TableParagraph"/>
              <w:spacing w:line="168" w:lineRule="exact"/>
              <w:ind w:right="181"/>
              <w:rPr>
                <w:sz w:val="15"/>
              </w:rPr>
            </w:pPr>
            <w:r>
              <w:rPr>
                <w:sz w:val="15"/>
              </w:rPr>
              <w:t>Subprocurador-Geral </w:t>
            </w:r>
            <w:r>
              <w:rPr>
                <w:spacing w:val="-2"/>
                <w:sz w:val="15"/>
              </w:rPr>
              <w:t>Judicial</w:t>
            </w:r>
          </w:p>
        </w:tc>
        <w:tc>
          <w:tcPr>
            <w:tcW w:w="3190" w:type="dxa"/>
            <w:tcBorders>
              <w:right w:val="single" w:sz="6" w:space="0" w:color="00336A"/>
            </w:tcBorders>
          </w:tcPr>
          <w:p>
            <w:pPr>
              <w:pStyle w:val="TableParagraph"/>
              <w:spacing w:line="168" w:lineRule="exact"/>
              <w:ind w:left="1" w:right="306"/>
              <w:rPr>
                <w:sz w:val="15"/>
              </w:rPr>
            </w:pPr>
            <w:r>
              <w:rPr>
                <w:sz w:val="15"/>
              </w:rPr>
              <w:t>Subprocurador-Geral </w:t>
            </w:r>
            <w:r>
              <w:rPr>
                <w:spacing w:val="-2"/>
                <w:sz w:val="15"/>
              </w:rPr>
              <w:t>Recursal</w:t>
            </w:r>
          </w:p>
        </w:tc>
      </w:tr>
      <w:tr>
        <w:trPr>
          <w:trHeight w:val="493" w:hRule="atLeast"/>
        </w:trPr>
        <w:tc>
          <w:tcPr>
            <w:tcW w:w="10314" w:type="dxa"/>
            <w:gridSpan w:val="3"/>
            <w:tcBorders>
              <w:left w:val="single" w:sz="6" w:space="0" w:color="00336A"/>
              <w:bottom w:val="single" w:sz="6" w:space="0" w:color="00336A"/>
              <w:right w:val="single" w:sz="6" w:space="0" w:color="00336A"/>
            </w:tcBorders>
          </w:tcPr>
          <w:p>
            <w:pPr>
              <w:pStyle w:val="TableParagraph"/>
              <w:tabs>
                <w:tab w:pos="6632" w:val="left" w:leader="none"/>
              </w:tabs>
              <w:spacing w:line="171" w:lineRule="exact" w:before="48"/>
              <w:ind w:left="1347"/>
              <w:jc w:val="left"/>
              <w:rPr>
                <w:rFonts w:ascii="Arial" w:hAnsi="Arial"/>
                <w:b/>
                <w:sz w:val="15"/>
              </w:rPr>
            </w:pPr>
            <w:r>
              <w:rPr>
                <w:rFonts w:ascii="Arial" w:hAnsi="Arial"/>
                <w:b/>
                <w:sz w:val="15"/>
              </w:rPr>
              <w:t>MAURÍCIO ANDRÉ BARROS </w:t>
            </w:r>
            <w:r>
              <w:rPr>
                <w:rFonts w:ascii="Arial" w:hAnsi="Arial"/>
                <w:b/>
                <w:spacing w:val="-2"/>
                <w:sz w:val="15"/>
              </w:rPr>
              <w:t>PITTA</w:t>
            </w:r>
            <w:r>
              <w:rPr>
                <w:rFonts w:ascii="Arial" w:hAnsi="Arial"/>
                <w:b/>
                <w:sz w:val="15"/>
              </w:rPr>
              <w:tab/>
              <w:t>EDUARDO</w:t>
            </w:r>
            <w:r>
              <w:rPr>
                <w:rFonts w:ascii="Arial" w:hAnsi="Arial"/>
                <w:b/>
                <w:spacing w:val="-2"/>
                <w:sz w:val="15"/>
              </w:rPr>
              <w:t> </w:t>
            </w:r>
            <w:r>
              <w:rPr>
                <w:rFonts w:ascii="Arial" w:hAnsi="Arial"/>
                <w:b/>
                <w:sz w:val="15"/>
              </w:rPr>
              <w:t>TAVARES </w:t>
            </w:r>
            <w:r>
              <w:rPr>
                <w:rFonts w:ascii="Arial" w:hAnsi="Arial"/>
                <w:b/>
                <w:spacing w:val="-2"/>
                <w:sz w:val="15"/>
              </w:rPr>
              <w:t>MENDES</w:t>
            </w:r>
          </w:p>
          <w:p>
            <w:pPr>
              <w:pStyle w:val="TableParagraph"/>
              <w:tabs>
                <w:tab w:pos="6757" w:val="left" w:leader="none"/>
              </w:tabs>
              <w:spacing w:line="171" w:lineRule="exact"/>
              <w:ind w:left="1297"/>
              <w:jc w:val="left"/>
              <w:rPr>
                <w:sz w:val="15"/>
              </w:rPr>
            </w:pPr>
            <w:r>
              <w:rPr>
                <w:sz w:val="15"/>
              </w:rPr>
              <w:t>Corregedor-Geral do Ministério </w:t>
            </w:r>
            <w:r>
              <w:rPr>
                <w:spacing w:val="-2"/>
                <w:sz w:val="15"/>
              </w:rPr>
              <w:t>Público</w:t>
            </w:r>
            <w:r>
              <w:rPr>
                <w:sz w:val="15"/>
              </w:rPr>
              <w:tab/>
              <w:t>Ouvidor do Ministério </w:t>
            </w:r>
            <w:r>
              <w:rPr>
                <w:spacing w:val="-2"/>
                <w:sz w:val="15"/>
              </w:rPr>
              <w:t>Público</w:t>
            </w:r>
          </w:p>
        </w:tc>
      </w:tr>
    </w:tbl>
    <w:p>
      <w:pPr>
        <w:pStyle w:val="BodyText"/>
        <w:spacing w:before="8"/>
        <w:rPr>
          <w:sz w:val="6"/>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9"/>
        <w:gridCol w:w="3755"/>
        <w:gridCol w:w="3190"/>
      </w:tblGrid>
      <w:tr>
        <w:trPr>
          <w:trHeight w:val="344" w:hRule="atLeast"/>
        </w:trPr>
        <w:tc>
          <w:tcPr>
            <w:tcW w:w="3369" w:type="dxa"/>
            <w:vMerge w:val="restart"/>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68" w:lineRule="exact"/>
              <w:ind w:right="161"/>
              <w:rPr>
                <w:rFonts w:ascii="Arial" w:hAnsi="Arial"/>
                <w:b/>
                <w:sz w:val="15"/>
              </w:rPr>
            </w:pPr>
            <w:r>
              <w:rPr>
                <w:rFonts w:ascii="Arial" w:hAnsi="Arial"/>
                <w:b/>
                <w:sz w:val="15"/>
              </w:rPr>
              <w:t>COLÉGIO DE PROCURADORES DE </w:t>
            </w:r>
            <w:r>
              <w:rPr>
                <w:rFonts w:ascii="Arial" w:hAnsi="Arial"/>
                <w:b/>
                <w:spacing w:val="-2"/>
                <w:sz w:val="15"/>
              </w:rPr>
              <w:t>JUSTIÇA</w:t>
            </w:r>
          </w:p>
          <w:p>
            <w:pPr>
              <w:pStyle w:val="TableParagraph"/>
              <w:spacing w:line="157" w:lineRule="exact"/>
              <w:ind w:right="160"/>
              <w:rPr>
                <w:sz w:val="15"/>
              </w:rPr>
            </w:pPr>
            <w:r>
              <w:rPr>
                <w:sz w:val="15"/>
              </w:rPr>
              <w:t>Lean Antônio Ferreira de </w:t>
            </w:r>
            <w:r>
              <w:rPr>
                <w:spacing w:val="-2"/>
                <w:sz w:val="15"/>
              </w:rPr>
              <w:t>Araújo</w:t>
            </w:r>
          </w:p>
        </w:tc>
        <w:tc>
          <w:tcPr>
            <w:tcW w:w="3190" w:type="dxa"/>
            <w:vMerge w:val="restart"/>
            <w:tcBorders>
              <w:top w:val="single" w:sz="6" w:space="0" w:color="00336A"/>
              <w:right w:val="single" w:sz="6" w:space="0" w:color="00336A"/>
            </w:tcBorders>
          </w:tcPr>
          <w:p>
            <w:pPr>
              <w:pStyle w:val="TableParagraph"/>
              <w:jc w:val="left"/>
              <w:rPr>
                <w:rFonts w:ascii="Times New Roman"/>
                <w:sz w:val="16"/>
              </w:rPr>
            </w:pPr>
          </w:p>
        </w:tc>
      </w:tr>
      <w:tr>
        <w:trPr>
          <w:trHeight w:val="264" w:hRule="atLeast"/>
        </w:trPr>
        <w:tc>
          <w:tcPr>
            <w:tcW w:w="3369" w:type="dxa"/>
            <w:vMerge/>
            <w:tcBorders>
              <w:top w:val="nil"/>
              <w:left w:val="single" w:sz="6" w:space="0" w:color="00336A"/>
            </w:tcBorders>
          </w:tcPr>
          <w:p>
            <w:pPr>
              <w:rPr>
                <w:sz w:val="2"/>
                <w:szCs w:val="2"/>
              </w:rPr>
            </w:pPr>
          </w:p>
        </w:tc>
        <w:tc>
          <w:tcPr>
            <w:tcW w:w="3755" w:type="dxa"/>
          </w:tcPr>
          <w:p>
            <w:pPr>
              <w:pStyle w:val="TableParagraph"/>
              <w:spacing w:before="1"/>
              <w:ind w:right="161"/>
              <w:rPr>
                <w:rFonts w:ascii="Arial"/>
                <w:b/>
                <w:sz w:val="15"/>
              </w:rPr>
            </w:pPr>
            <w:r>
              <w:rPr>
                <w:rFonts w:ascii="Arial"/>
                <w:b/>
                <w:spacing w:val="-2"/>
                <w:sz w:val="15"/>
              </w:rPr>
              <w:t>Presidente</w:t>
            </w:r>
          </w:p>
        </w:tc>
        <w:tc>
          <w:tcPr>
            <w:tcW w:w="3190" w:type="dxa"/>
            <w:vMerge/>
            <w:tcBorders>
              <w:top w:val="nil"/>
              <w:right w:val="single" w:sz="6" w:space="0" w:color="00336A"/>
            </w:tcBorders>
          </w:tcPr>
          <w:p>
            <w:pPr>
              <w:rPr>
                <w:sz w:val="2"/>
                <w:szCs w:val="2"/>
              </w:rPr>
            </w:pPr>
          </w:p>
        </w:tc>
      </w:tr>
      <w:tr>
        <w:trPr>
          <w:trHeight w:val="258" w:hRule="atLeast"/>
        </w:trPr>
        <w:tc>
          <w:tcPr>
            <w:tcW w:w="3369" w:type="dxa"/>
            <w:tcBorders>
              <w:left w:val="single" w:sz="6" w:space="0" w:color="00336A"/>
            </w:tcBorders>
          </w:tcPr>
          <w:p>
            <w:pPr>
              <w:pStyle w:val="TableParagraph"/>
              <w:spacing w:line="153" w:lineRule="exact" w:before="85"/>
              <w:ind w:left="139" w:right="22"/>
              <w:rPr>
                <w:sz w:val="15"/>
              </w:rPr>
            </w:pPr>
            <w:r>
              <w:rPr>
                <w:sz w:val="15"/>
              </w:rPr>
              <w:t>Sérgio Rocha Cavalcanti </w:t>
            </w:r>
            <w:r>
              <w:rPr>
                <w:spacing w:val="-4"/>
                <w:sz w:val="15"/>
              </w:rPr>
              <w:t>Jucá</w:t>
            </w:r>
          </w:p>
        </w:tc>
        <w:tc>
          <w:tcPr>
            <w:tcW w:w="3755" w:type="dxa"/>
          </w:tcPr>
          <w:p>
            <w:pPr>
              <w:pStyle w:val="TableParagraph"/>
              <w:spacing w:line="153" w:lineRule="exact" w:before="85"/>
              <w:ind w:right="131"/>
              <w:rPr>
                <w:sz w:val="15"/>
              </w:rPr>
            </w:pPr>
            <w:r>
              <w:rPr>
                <w:sz w:val="15"/>
              </w:rPr>
              <w:t>Walber José Valente de </w:t>
            </w:r>
            <w:r>
              <w:rPr>
                <w:spacing w:val="-4"/>
                <w:sz w:val="15"/>
              </w:rPr>
              <w:t>Lima</w:t>
            </w:r>
          </w:p>
        </w:tc>
        <w:tc>
          <w:tcPr>
            <w:tcW w:w="3190" w:type="dxa"/>
            <w:tcBorders>
              <w:right w:val="single" w:sz="6" w:space="0" w:color="00336A"/>
            </w:tcBorders>
          </w:tcPr>
          <w:p>
            <w:pPr>
              <w:pStyle w:val="TableParagraph"/>
              <w:spacing w:line="153" w:lineRule="exact" w:before="85"/>
              <w:ind w:left="75" w:right="306"/>
              <w:rPr>
                <w:sz w:val="15"/>
              </w:rPr>
            </w:pPr>
            <w:r>
              <w:rPr>
                <w:sz w:val="15"/>
              </w:rPr>
              <w:t>Lean Antônio Ferreira de </w:t>
            </w:r>
            <w:r>
              <w:rPr>
                <w:spacing w:val="-2"/>
                <w:sz w:val="15"/>
              </w:rPr>
              <w:t>Araújo</w:t>
            </w:r>
          </w:p>
        </w:tc>
      </w:tr>
      <w:tr>
        <w:trPr>
          <w:trHeight w:val="168" w:hRule="atLeast"/>
        </w:trPr>
        <w:tc>
          <w:tcPr>
            <w:tcW w:w="3369" w:type="dxa"/>
            <w:tcBorders>
              <w:left w:val="single" w:sz="6" w:space="0" w:color="00336A"/>
            </w:tcBorders>
          </w:tcPr>
          <w:p>
            <w:pPr>
              <w:pStyle w:val="TableParagraph"/>
              <w:spacing w:line="149" w:lineRule="exact"/>
              <w:ind w:left="139" w:right="22"/>
              <w:rPr>
                <w:sz w:val="15"/>
              </w:rPr>
            </w:pPr>
            <w:r>
              <w:rPr>
                <w:sz w:val="15"/>
              </w:rPr>
              <w:t>Dennis Lima </w:t>
            </w:r>
            <w:r>
              <w:rPr>
                <w:spacing w:val="-2"/>
                <w:sz w:val="15"/>
              </w:rPr>
              <w:t>Calheiros</w:t>
            </w:r>
          </w:p>
        </w:tc>
        <w:tc>
          <w:tcPr>
            <w:tcW w:w="3755" w:type="dxa"/>
          </w:tcPr>
          <w:p>
            <w:pPr>
              <w:pStyle w:val="TableParagraph"/>
              <w:spacing w:line="149" w:lineRule="exact"/>
              <w:ind w:right="131"/>
              <w:rPr>
                <w:sz w:val="15"/>
              </w:rPr>
            </w:pPr>
            <w:r>
              <w:rPr>
                <w:sz w:val="15"/>
              </w:rPr>
              <w:t>Vicente Felix </w:t>
            </w:r>
            <w:r>
              <w:rPr>
                <w:spacing w:val="-2"/>
                <w:sz w:val="15"/>
              </w:rPr>
              <w:t>Correia</w:t>
            </w:r>
          </w:p>
        </w:tc>
        <w:tc>
          <w:tcPr>
            <w:tcW w:w="3190" w:type="dxa"/>
            <w:tcBorders>
              <w:right w:val="single" w:sz="6" w:space="0" w:color="00336A"/>
            </w:tcBorders>
          </w:tcPr>
          <w:p>
            <w:pPr>
              <w:pStyle w:val="TableParagraph"/>
              <w:spacing w:line="149" w:lineRule="exact"/>
              <w:ind w:left="75" w:right="306"/>
              <w:rPr>
                <w:sz w:val="15"/>
              </w:rPr>
            </w:pPr>
            <w:r>
              <w:rPr>
                <w:sz w:val="15"/>
              </w:rPr>
              <w:t>Eduardo Tavares </w:t>
            </w:r>
            <w:r>
              <w:rPr>
                <w:spacing w:val="-2"/>
                <w:sz w:val="15"/>
              </w:rPr>
              <w:t>Mendes</w:t>
            </w:r>
          </w:p>
        </w:tc>
      </w:tr>
      <w:tr>
        <w:trPr>
          <w:trHeight w:val="168" w:hRule="atLeast"/>
        </w:trPr>
        <w:tc>
          <w:tcPr>
            <w:tcW w:w="3369" w:type="dxa"/>
            <w:tcBorders>
              <w:left w:val="single" w:sz="6" w:space="0" w:color="00336A"/>
            </w:tcBorders>
          </w:tcPr>
          <w:p>
            <w:pPr>
              <w:pStyle w:val="TableParagraph"/>
              <w:spacing w:line="149" w:lineRule="exact"/>
              <w:ind w:left="139" w:right="23"/>
              <w:rPr>
                <w:sz w:val="15"/>
              </w:rPr>
            </w:pPr>
            <w:r>
              <w:rPr>
                <w:sz w:val="15"/>
              </w:rPr>
              <w:t>Marcos Barros </w:t>
            </w:r>
            <w:r>
              <w:rPr>
                <w:spacing w:val="-4"/>
                <w:sz w:val="15"/>
              </w:rPr>
              <w:t>Méro</w:t>
            </w:r>
          </w:p>
        </w:tc>
        <w:tc>
          <w:tcPr>
            <w:tcW w:w="3755" w:type="dxa"/>
          </w:tcPr>
          <w:p>
            <w:pPr>
              <w:pStyle w:val="TableParagraph"/>
              <w:spacing w:line="149" w:lineRule="exact"/>
              <w:ind w:right="130"/>
              <w:rPr>
                <w:sz w:val="15"/>
              </w:rPr>
            </w:pPr>
            <w:r>
              <w:rPr>
                <w:sz w:val="15"/>
              </w:rPr>
              <w:t>Valter José de Omena </w:t>
            </w:r>
            <w:r>
              <w:rPr>
                <w:spacing w:val="-2"/>
                <w:sz w:val="15"/>
              </w:rPr>
              <w:t>Acioly</w:t>
            </w:r>
          </w:p>
        </w:tc>
        <w:tc>
          <w:tcPr>
            <w:tcW w:w="3190" w:type="dxa"/>
            <w:tcBorders>
              <w:right w:val="single" w:sz="6" w:space="0" w:color="00336A"/>
            </w:tcBorders>
          </w:tcPr>
          <w:p>
            <w:pPr>
              <w:pStyle w:val="TableParagraph"/>
              <w:spacing w:line="149" w:lineRule="exact"/>
              <w:ind w:left="75" w:right="306"/>
              <w:rPr>
                <w:sz w:val="15"/>
              </w:rPr>
            </w:pPr>
            <w:r>
              <w:rPr>
                <w:sz w:val="15"/>
              </w:rPr>
              <w:t>Denise Guimarães de </w:t>
            </w:r>
            <w:r>
              <w:rPr>
                <w:spacing w:val="-2"/>
                <w:sz w:val="15"/>
              </w:rPr>
              <w:t>Oliveira</w:t>
            </w:r>
          </w:p>
        </w:tc>
      </w:tr>
      <w:tr>
        <w:trPr>
          <w:trHeight w:val="168" w:hRule="atLeast"/>
        </w:trPr>
        <w:tc>
          <w:tcPr>
            <w:tcW w:w="3369" w:type="dxa"/>
            <w:tcBorders>
              <w:left w:val="single" w:sz="6" w:space="0" w:color="00336A"/>
            </w:tcBorders>
          </w:tcPr>
          <w:p>
            <w:pPr>
              <w:pStyle w:val="TableParagraph"/>
              <w:spacing w:line="149" w:lineRule="exact"/>
              <w:ind w:left="139" w:right="23"/>
              <w:rPr>
                <w:sz w:val="15"/>
              </w:rPr>
            </w:pPr>
            <w:r>
              <w:rPr>
                <w:sz w:val="15"/>
              </w:rPr>
              <w:t>Maurício André Barros </w:t>
            </w:r>
            <w:r>
              <w:rPr>
                <w:spacing w:val="-2"/>
                <w:sz w:val="15"/>
              </w:rPr>
              <w:t>Pitta</w:t>
            </w:r>
          </w:p>
        </w:tc>
        <w:tc>
          <w:tcPr>
            <w:tcW w:w="3755" w:type="dxa"/>
          </w:tcPr>
          <w:p>
            <w:pPr>
              <w:pStyle w:val="TableParagraph"/>
              <w:spacing w:line="149" w:lineRule="exact"/>
              <w:ind w:right="130"/>
              <w:rPr>
                <w:sz w:val="15"/>
              </w:rPr>
            </w:pPr>
            <w:r>
              <w:rPr>
                <w:sz w:val="15"/>
              </w:rPr>
              <w:t>Isaac Sandes </w:t>
            </w:r>
            <w:r>
              <w:rPr>
                <w:spacing w:val="-4"/>
                <w:sz w:val="15"/>
              </w:rPr>
              <w:t>Dias</w:t>
            </w:r>
          </w:p>
        </w:tc>
        <w:tc>
          <w:tcPr>
            <w:tcW w:w="3190" w:type="dxa"/>
            <w:tcBorders>
              <w:right w:val="single" w:sz="6" w:space="0" w:color="00336A"/>
            </w:tcBorders>
          </w:tcPr>
          <w:p>
            <w:pPr>
              <w:pStyle w:val="TableParagraph"/>
              <w:spacing w:line="149" w:lineRule="exact"/>
              <w:ind w:left="75" w:right="306"/>
              <w:rPr>
                <w:sz w:val="15"/>
              </w:rPr>
            </w:pPr>
            <w:r>
              <w:rPr>
                <w:sz w:val="15"/>
              </w:rPr>
              <w:t>Sérgio Amaral </w:t>
            </w:r>
            <w:r>
              <w:rPr>
                <w:spacing w:val="-2"/>
                <w:sz w:val="15"/>
              </w:rPr>
              <w:t>Scala</w:t>
            </w:r>
          </w:p>
        </w:tc>
      </w:tr>
      <w:tr>
        <w:trPr>
          <w:trHeight w:val="366" w:hRule="atLeast"/>
        </w:trPr>
        <w:tc>
          <w:tcPr>
            <w:tcW w:w="3369" w:type="dxa"/>
            <w:tcBorders>
              <w:left w:val="single" w:sz="6" w:space="0" w:color="00336A"/>
              <w:bottom w:val="single" w:sz="6" w:space="0" w:color="00336A"/>
            </w:tcBorders>
          </w:tcPr>
          <w:p>
            <w:pPr>
              <w:pStyle w:val="TableParagraph"/>
              <w:spacing w:line="168" w:lineRule="exact"/>
              <w:ind w:left="139" w:right="23"/>
              <w:rPr>
                <w:sz w:val="15"/>
              </w:rPr>
            </w:pPr>
            <w:r>
              <w:rPr>
                <w:sz w:val="15"/>
              </w:rPr>
              <w:t>Helder de Arthur Jucá </w:t>
            </w:r>
            <w:r>
              <w:rPr>
                <w:spacing w:val="-2"/>
                <w:sz w:val="15"/>
              </w:rPr>
              <w:t>Filho</w:t>
            </w:r>
          </w:p>
        </w:tc>
        <w:tc>
          <w:tcPr>
            <w:tcW w:w="3755" w:type="dxa"/>
            <w:tcBorders>
              <w:bottom w:val="single" w:sz="6" w:space="0" w:color="00336A"/>
            </w:tcBorders>
          </w:tcPr>
          <w:p>
            <w:pPr>
              <w:pStyle w:val="TableParagraph"/>
              <w:spacing w:line="235" w:lineRule="auto"/>
              <w:ind w:left="839" w:right="592" w:hanging="42"/>
              <w:jc w:val="left"/>
              <w:rPr>
                <w:sz w:val="15"/>
              </w:rPr>
            </w:pPr>
            <w:r>
              <w:rPr>
                <w:sz w:val="15"/>
              </w:rPr>
              <w:t>Maria</w:t>
            </w:r>
            <w:r>
              <w:rPr>
                <w:spacing w:val="-11"/>
                <w:sz w:val="15"/>
              </w:rPr>
              <w:t> </w:t>
            </w:r>
            <w:r>
              <w:rPr>
                <w:sz w:val="15"/>
              </w:rPr>
              <w:t>Marluce</w:t>
            </w:r>
            <w:r>
              <w:rPr>
                <w:spacing w:val="-10"/>
                <w:sz w:val="15"/>
              </w:rPr>
              <w:t> </w:t>
            </w:r>
            <w:r>
              <w:rPr>
                <w:sz w:val="15"/>
              </w:rPr>
              <w:t>Caldas</w:t>
            </w:r>
            <w:r>
              <w:rPr>
                <w:spacing w:val="-11"/>
                <w:sz w:val="15"/>
              </w:rPr>
              <w:t> </w:t>
            </w:r>
            <w:r>
              <w:rPr>
                <w:sz w:val="15"/>
              </w:rPr>
              <w:t>Bezerra Neide Maria Camelo da </w:t>
            </w:r>
            <w:r>
              <w:rPr>
                <w:spacing w:val="-2"/>
                <w:sz w:val="15"/>
              </w:rPr>
              <w:t>Silva</w:t>
            </w:r>
          </w:p>
        </w:tc>
        <w:tc>
          <w:tcPr>
            <w:tcW w:w="3190" w:type="dxa"/>
            <w:tcBorders>
              <w:bottom w:val="single" w:sz="6" w:space="0" w:color="00336A"/>
              <w:right w:val="single" w:sz="6" w:space="0" w:color="00336A"/>
            </w:tcBorders>
          </w:tcPr>
          <w:p>
            <w:pPr>
              <w:pStyle w:val="TableParagraph"/>
              <w:spacing w:line="168" w:lineRule="exact"/>
              <w:ind w:left="75" w:right="306"/>
              <w:rPr>
                <w:sz w:val="15"/>
              </w:rPr>
            </w:pPr>
            <w:r>
              <w:rPr>
                <w:sz w:val="15"/>
              </w:rPr>
              <w:t>Kícia Oliveira Cabral de </w:t>
            </w:r>
            <w:r>
              <w:rPr>
                <w:spacing w:val="-2"/>
                <w:sz w:val="15"/>
              </w:rPr>
              <w:t>Vasconcellos</w:t>
            </w:r>
          </w:p>
        </w:tc>
      </w:tr>
      <w:tr>
        <w:trPr>
          <w:trHeight w:val="75" w:hRule="atLeast"/>
        </w:trPr>
        <w:tc>
          <w:tcPr>
            <w:tcW w:w="3369" w:type="dxa"/>
            <w:tcBorders>
              <w:top w:val="single" w:sz="6" w:space="0" w:color="00336A"/>
              <w:bottom w:val="single" w:sz="6" w:space="0" w:color="00336A"/>
            </w:tcBorders>
          </w:tcPr>
          <w:p>
            <w:pPr>
              <w:pStyle w:val="TableParagraph"/>
              <w:jc w:val="left"/>
              <w:rPr>
                <w:rFonts w:ascii="Times New Roman"/>
                <w:sz w:val="2"/>
              </w:rPr>
            </w:pPr>
          </w:p>
        </w:tc>
        <w:tc>
          <w:tcPr>
            <w:tcW w:w="3755" w:type="dxa"/>
            <w:tcBorders>
              <w:top w:val="single" w:sz="6" w:space="0" w:color="00336A"/>
              <w:bottom w:val="single" w:sz="6" w:space="0" w:color="00336A"/>
            </w:tcBorders>
          </w:tcPr>
          <w:p>
            <w:pPr>
              <w:pStyle w:val="TableParagraph"/>
              <w:jc w:val="left"/>
              <w:rPr>
                <w:rFonts w:ascii="Times New Roman"/>
                <w:sz w:val="2"/>
              </w:rPr>
            </w:pPr>
          </w:p>
        </w:tc>
        <w:tc>
          <w:tcPr>
            <w:tcW w:w="3190" w:type="dxa"/>
            <w:tcBorders>
              <w:top w:val="single" w:sz="6" w:space="0" w:color="00336A"/>
              <w:bottom w:val="single" w:sz="6" w:space="0" w:color="00336A"/>
            </w:tcBorders>
          </w:tcPr>
          <w:p>
            <w:pPr>
              <w:pStyle w:val="TableParagraph"/>
              <w:jc w:val="left"/>
              <w:rPr>
                <w:rFonts w:ascii="Times New Roman"/>
                <w:sz w:val="2"/>
              </w:rPr>
            </w:pPr>
          </w:p>
        </w:tc>
      </w:tr>
      <w:tr>
        <w:trPr>
          <w:trHeight w:val="344" w:hRule="atLeast"/>
        </w:trPr>
        <w:tc>
          <w:tcPr>
            <w:tcW w:w="3369" w:type="dxa"/>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68" w:lineRule="exact"/>
              <w:ind w:right="161"/>
              <w:rPr>
                <w:rFonts w:ascii="Arial" w:hAnsi="Arial"/>
                <w:b/>
                <w:sz w:val="15"/>
              </w:rPr>
            </w:pPr>
            <w:r>
              <w:rPr>
                <w:rFonts w:ascii="Arial" w:hAnsi="Arial"/>
                <w:b/>
                <w:sz w:val="15"/>
              </w:rPr>
              <w:t>CONSELHO SUPERIOR DO MINISTÉRIO </w:t>
            </w:r>
            <w:r>
              <w:rPr>
                <w:rFonts w:ascii="Arial" w:hAnsi="Arial"/>
                <w:b/>
                <w:spacing w:val="-2"/>
                <w:sz w:val="15"/>
              </w:rPr>
              <w:t>PÚBLICO</w:t>
            </w:r>
          </w:p>
          <w:p>
            <w:pPr>
              <w:pStyle w:val="TableParagraph"/>
              <w:spacing w:line="157" w:lineRule="exact"/>
              <w:ind w:right="160"/>
              <w:rPr>
                <w:sz w:val="15"/>
              </w:rPr>
            </w:pPr>
            <w:r>
              <w:rPr>
                <w:sz w:val="15"/>
              </w:rPr>
              <w:t>Lean Antônio Ferreira de </w:t>
            </w:r>
            <w:r>
              <w:rPr>
                <w:spacing w:val="-2"/>
                <w:sz w:val="15"/>
              </w:rPr>
              <w:t>Araújo</w:t>
            </w:r>
          </w:p>
        </w:tc>
        <w:tc>
          <w:tcPr>
            <w:tcW w:w="3190" w:type="dxa"/>
            <w:tcBorders>
              <w:top w:val="single" w:sz="6" w:space="0" w:color="00336A"/>
              <w:right w:val="single" w:sz="6" w:space="0" w:color="00336A"/>
            </w:tcBorders>
          </w:tcPr>
          <w:p>
            <w:pPr>
              <w:pStyle w:val="TableParagraph"/>
              <w:jc w:val="left"/>
              <w:rPr>
                <w:rFonts w:ascii="Times New Roman"/>
                <w:sz w:val="16"/>
              </w:rPr>
            </w:pPr>
          </w:p>
        </w:tc>
      </w:tr>
      <w:tr>
        <w:trPr>
          <w:trHeight w:val="264" w:hRule="atLeast"/>
        </w:trPr>
        <w:tc>
          <w:tcPr>
            <w:tcW w:w="3369" w:type="dxa"/>
            <w:tcBorders>
              <w:left w:val="single" w:sz="6" w:space="0" w:color="00336A"/>
            </w:tcBorders>
          </w:tcPr>
          <w:p>
            <w:pPr>
              <w:pStyle w:val="TableParagraph"/>
              <w:jc w:val="left"/>
              <w:rPr>
                <w:rFonts w:ascii="Times New Roman"/>
                <w:sz w:val="16"/>
              </w:rPr>
            </w:pPr>
          </w:p>
        </w:tc>
        <w:tc>
          <w:tcPr>
            <w:tcW w:w="3755" w:type="dxa"/>
          </w:tcPr>
          <w:p>
            <w:pPr>
              <w:pStyle w:val="TableParagraph"/>
              <w:spacing w:before="1"/>
              <w:ind w:right="161"/>
              <w:rPr>
                <w:rFonts w:ascii="Arial"/>
                <w:b/>
                <w:sz w:val="15"/>
              </w:rPr>
            </w:pPr>
            <w:r>
              <w:rPr>
                <w:rFonts w:ascii="Arial"/>
                <w:b/>
                <w:spacing w:val="-2"/>
                <w:sz w:val="15"/>
              </w:rPr>
              <w:t>Presidente</w:t>
            </w:r>
          </w:p>
        </w:tc>
        <w:tc>
          <w:tcPr>
            <w:tcW w:w="3190" w:type="dxa"/>
            <w:tcBorders>
              <w:right w:val="single" w:sz="6" w:space="0" w:color="00336A"/>
            </w:tcBorders>
          </w:tcPr>
          <w:p>
            <w:pPr>
              <w:pStyle w:val="TableParagraph"/>
              <w:jc w:val="left"/>
              <w:rPr>
                <w:rFonts w:ascii="Times New Roman"/>
                <w:sz w:val="16"/>
              </w:rPr>
            </w:pPr>
          </w:p>
        </w:tc>
      </w:tr>
      <w:tr>
        <w:trPr>
          <w:trHeight w:val="258" w:hRule="atLeast"/>
        </w:trPr>
        <w:tc>
          <w:tcPr>
            <w:tcW w:w="3369" w:type="dxa"/>
            <w:tcBorders>
              <w:left w:val="single" w:sz="6" w:space="0" w:color="00336A"/>
            </w:tcBorders>
          </w:tcPr>
          <w:p>
            <w:pPr>
              <w:pStyle w:val="TableParagraph"/>
              <w:spacing w:line="153" w:lineRule="exact" w:before="85"/>
              <w:ind w:left="139" w:right="22"/>
              <w:rPr>
                <w:sz w:val="15"/>
              </w:rPr>
            </w:pPr>
            <w:r>
              <w:rPr>
                <w:sz w:val="15"/>
              </w:rPr>
              <w:t>Sérgio Rocha Cavalcanti </w:t>
            </w:r>
            <w:r>
              <w:rPr>
                <w:spacing w:val="-4"/>
                <w:sz w:val="15"/>
              </w:rPr>
              <w:t>Jucá</w:t>
            </w:r>
          </w:p>
        </w:tc>
        <w:tc>
          <w:tcPr>
            <w:tcW w:w="3755" w:type="dxa"/>
          </w:tcPr>
          <w:p>
            <w:pPr>
              <w:pStyle w:val="TableParagraph"/>
              <w:spacing w:line="153" w:lineRule="exact" w:before="85"/>
              <w:ind w:right="130"/>
              <w:rPr>
                <w:sz w:val="15"/>
              </w:rPr>
            </w:pPr>
            <w:r>
              <w:rPr>
                <w:sz w:val="15"/>
              </w:rPr>
              <w:t>Lean Antônio Ferreira de </w:t>
            </w:r>
            <w:r>
              <w:rPr>
                <w:spacing w:val="-2"/>
                <w:sz w:val="15"/>
              </w:rPr>
              <w:t>Araújo</w:t>
            </w:r>
          </w:p>
        </w:tc>
        <w:tc>
          <w:tcPr>
            <w:tcW w:w="3190" w:type="dxa"/>
            <w:tcBorders>
              <w:right w:val="single" w:sz="6" w:space="0" w:color="00336A"/>
            </w:tcBorders>
          </w:tcPr>
          <w:p>
            <w:pPr>
              <w:pStyle w:val="TableParagraph"/>
              <w:spacing w:line="153" w:lineRule="exact" w:before="85"/>
              <w:ind w:left="74" w:right="306"/>
              <w:rPr>
                <w:sz w:val="15"/>
              </w:rPr>
            </w:pPr>
            <w:r>
              <w:rPr>
                <w:sz w:val="15"/>
              </w:rPr>
              <w:t>Marcos Barros </w:t>
            </w:r>
            <w:r>
              <w:rPr>
                <w:spacing w:val="-4"/>
                <w:sz w:val="15"/>
              </w:rPr>
              <w:t>Méro</w:t>
            </w:r>
          </w:p>
        </w:tc>
      </w:tr>
      <w:tr>
        <w:trPr>
          <w:trHeight w:val="366" w:hRule="atLeast"/>
        </w:trPr>
        <w:tc>
          <w:tcPr>
            <w:tcW w:w="3369" w:type="dxa"/>
            <w:tcBorders>
              <w:left w:val="single" w:sz="6" w:space="0" w:color="00336A"/>
              <w:bottom w:val="single" w:sz="6" w:space="0" w:color="00336A"/>
            </w:tcBorders>
          </w:tcPr>
          <w:p>
            <w:pPr>
              <w:pStyle w:val="TableParagraph"/>
              <w:spacing w:line="168" w:lineRule="exact"/>
              <w:ind w:left="139" w:right="23"/>
              <w:rPr>
                <w:sz w:val="15"/>
              </w:rPr>
            </w:pPr>
            <w:r>
              <w:rPr>
                <w:sz w:val="15"/>
              </w:rPr>
              <w:t>Maurício André Barros </w:t>
            </w:r>
            <w:r>
              <w:rPr>
                <w:spacing w:val="-2"/>
                <w:sz w:val="15"/>
              </w:rPr>
              <w:t>Pitta</w:t>
            </w:r>
          </w:p>
        </w:tc>
        <w:tc>
          <w:tcPr>
            <w:tcW w:w="3755" w:type="dxa"/>
            <w:tcBorders>
              <w:bottom w:val="single" w:sz="6" w:space="0" w:color="00336A"/>
            </w:tcBorders>
          </w:tcPr>
          <w:p>
            <w:pPr>
              <w:pStyle w:val="TableParagraph"/>
              <w:spacing w:line="166" w:lineRule="exact"/>
              <w:ind w:right="130"/>
              <w:rPr>
                <w:sz w:val="15"/>
              </w:rPr>
            </w:pPr>
            <w:r>
              <w:rPr>
                <w:sz w:val="15"/>
              </w:rPr>
              <w:t>Isaac Sandes </w:t>
            </w:r>
            <w:r>
              <w:rPr>
                <w:spacing w:val="-4"/>
                <w:sz w:val="15"/>
              </w:rPr>
              <w:t>Dias</w:t>
            </w:r>
          </w:p>
          <w:p>
            <w:pPr>
              <w:pStyle w:val="TableParagraph"/>
              <w:spacing w:line="171" w:lineRule="exact"/>
              <w:ind w:right="130"/>
              <w:rPr>
                <w:sz w:val="15"/>
              </w:rPr>
            </w:pPr>
            <w:r>
              <w:rPr>
                <w:sz w:val="15"/>
              </w:rPr>
              <w:t>Kícia Oliveira Cabral de </w:t>
            </w:r>
            <w:r>
              <w:rPr>
                <w:spacing w:val="-2"/>
                <w:sz w:val="15"/>
              </w:rPr>
              <w:t>Vasconcellos</w:t>
            </w:r>
          </w:p>
        </w:tc>
        <w:tc>
          <w:tcPr>
            <w:tcW w:w="3190" w:type="dxa"/>
            <w:tcBorders>
              <w:bottom w:val="single" w:sz="6" w:space="0" w:color="00336A"/>
              <w:right w:val="single" w:sz="6" w:space="0" w:color="00336A"/>
            </w:tcBorders>
          </w:tcPr>
          <w:p>
            <w:pPr>
              <w:pStyle w:val="TableParagraph"/>
              <w:spacing w:line="168" w:lineRule="exact"/>
              <w:ind w:left="75" w:right="306"/>
              <w:rPr>
                <w:sz w:val="15"/>
              </w:rPr>
            </w:pPr>
            <w:r>
              <w:rPr>
                <w:sz w:val="15"/>
              </w:rPr>
              <w:t>Maria Marluce Caldas </w:t>
            </w:r>
            <w:r>
              <w:rPr>
                <w:spacing w:val="-2"/>
                <w:sz w:val="15"/>
              </w:rPr>
              <w:t>Bezerra</w:t>
            </w:r>
          </w:p>
        </w:tc>
      </w:tr>
    </w:tbl>
    <w:p>
      <w:pPr>
        <w:pStyle w:val="BodyText"/>
        <w:rPr>
          <w:sz w:val="20"/>
        </w:rPr>
      </w:pPr>
    </w:p>
    <w:p>
      <w:pPr>
        <w:pStyle w:val="BodyText"/>
        <w:spacing w:before="75"/>
        <w:rPr>
          <w:sz w:val="20"/>
        </w:rPr>
      </w:pPr>
      <w:r>
        <w:rPr>
          <w:sz w:val="20"/>
        </w:rPr>
        <mc:AlternateContent>
          <mc:Choice Requires="wps">
            <w:drawing>
              <wp:anchor distT="0" distB="0" distL="0" distR="0" allowOverlap="1" layoutInCell="1" locked="0" behindDoc="1" simplePos="0" relativeHeight="487588352">
                <wp:simplePos x="0" y="0"/>
                <wp:positionH relativeFrom="page">
                  <wp:posOffset>1816100</wp:posOffset>
                </wp:positionH>
                <wp:positionV relativeFrom="paragraph">
                  <wp:posOffset>209054</wp:posOffset>
                </wp:positionV>
                <wp:extent cx="39243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16.460976pt;width:309pt;height:.1pt;mso-position-horizontal-relative:page;mso-position-vertical-relative:paragraph;z-index:-15728128;mso-wrap-distance-left:0;mso-wrap-distance-right:0" id="docshape5" coordorigin="2860,329" coordsize="6180,0" path="m2860,329l9040,329e" filled="false" stroked="true" strokeweight="1.5pt" strokecolor="#777777">
                <v:path arrowok="t"/>
                <v:stroke dashstyle="solid"/>
                <w10:wrap type="topAndBottom"/>
              </v:shape>
            </w:pict>
          </mc:Fallback>
        </mc:AlternateContent>
      </w:r>
    </w:p>
    <w:p>
      <w:pPr>
        <w:pStyle w:val="Title"/>
      </w:pPr>
      <w:r>
        <w:rPr/>
        <w:t>Procuradoria-Geral de </w:t>
      </w:r>
      <w:r>
        <w:rPr>
          <w:spacing w:val="-2"/>
        </w:rPr>
        <w:t>Justiça</w:t>
      </w:r>
    </w:p>
    <w:p>
      <w:pPr>
        <w:pStyle w:val="BodyText"/>
        <w:spacing w:before="10"/>
        <w:rPr>
          <w:rFonts w:ascii="Arial"/>
          <w:b/>
          <w:sz w:val="3"/>
        </w:rPr>
      </w:pPr>
      <w:r>
        <w:rPr>
          <w:rFonts w:ascii="Arial"/>
          <w:b/>
          <w:sz w:val="3"/>
        </w:rPr>
        <mc:AlternateContent>
          <mc:Choice Requires="wps">
            <w:drawing>
              <wp:anchor distT="0" distB="0" distL="0" distR="0" allowOverlap="1" layoutInCell="1" locked="0" behindDoc="1" simplePos="0" relativeHeight="487588864">
                <wp:simplePos x="0" y="0"/>
                <wp:positionH relativeFrom="page">
                  <wp:posOffset>1816100</wp:posOffset>
                </wp:positionH>
                <wp:positionV relativeFrom="paragraph">
                  <wp:posOffset>43829</wp:posOffset>
                </wp:positionV>
                <wp:extent cx="39243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3.451172pt;width:309pt;height:.1pt;mso-position-horizontal-relative:page;mso-position-vertical-relative:paragraph;z-index:-15727616;mso-wrap-distance-left:0;mso-wrap-distance-right:0" id="docshape6" coordorigin="2860,69" coordsize="6180,0" path="m2860,69l9040,69e" filled="false" stroked="true" strokeweight="1.5pt" strokecolor="#777777">
                <v:path arrowok="t"/>
                <v:stroke dashstyle="solid"/>
                <w10:wrap type="topAndBottom"/>
              </v:shape>
            </w:pict>
          </mc:Fallback>
        </mc:AlternateContent>
      </w:r>
    </w:p>
    <w:p>
      <w:pPr>
        <w:pStyle w:val="Heading1"/>
        <w:spacing w:before="152"/>
      </w:pPr>
      <w:r>
        <w:rPr>
          <w:spacing w:val="-4"/>
        </w:rPr>
        <w:t>Atos</w:t>
      </w:r>
    </w:p>
    <w:p>
      <w:pPr>
        <w:pStyle w:val="BodyText"/>
        <w:spacing w:before="41"/>
        <w:rPr>
          <w:rFonts w:ascii="Arial"/>
          <w:b/>
        </w:rPr>
      </w:pPr>
    </w:p>
    <w:p>
      <w:pPr>
        <w:pStyle w:val="BodyText"/>
        <w:ind w:left="234"/>
      </w:pPr>
      <w:r>
        <w:rPr/>
        <w:t>ATO PGJ Nº </w:t>
      </w:r>
      <w:r>
        <w:rPr>
          <w:spacing w:val="-2"/>
        </w:rPr>
        <w:t>29/2024</w:t>
      </w:r>
    </w:p>
    <w:p>
      <w:pPr>
        <w:pStyle w:val="BodyText"/>
        <w:spacing w:before="18"/>
      </w:pPr>
    </w:p>
    <w:p>
      <w:pPr>
        <w:pStyle w:val="BodyText"/>
        <w:spacing w:line="249" w:lineRule="auto" w:before="1"/>
        <w:ind w:left="234" w:right="209"/>
        <w:jc w:val="both"/>
      </w:pPr>
      <w:r>
        <w:rPr/>
        <w:t>O PROCURADOR-GERAL DE JUSTIÇA, no uso de suas atribuições previstas no art. 9°, inciso V, da Lei Complementar</w:t>
      </w:r>
      <w:r>
        <w:rPr>
          <w:spacing w:val="40"/>
        </w:rPr>
        <w:t> </w:t>
      </w:r>
      <w:r>
        <w:rPr/>
        <w:t>Estadual nº 15/1996, e ainda o disposto no Decreto nº 95.021, de 28 de dezembro de 2023 do Governo do Estado de Alagoas, que dispõe sobre os feriados nacionais e estaduais para o exercício de 2024, define os pontos facultativos e dá outras </w:t>
      </w:r>
      <w:r>
        <w:rPr>
          <w:spacing w:val="-2"/>
        </w:rPr>
        <w:t>providências,</w:t>
      </w:r>
    </w:p>
    <w:p>
      <w:pPr>
        <w:pStyle w:val="Heading2"/>
        <w:spacing w:before="2"/>
      </w:pPr>
      <w:r>
        <w:rPr>
          <w:spacing w:val="-2"/>
        </w:rPr>
        <w:t>RESOLVE:</w:t>
      </w:r>
    </w:p>
    <w:p>
      <w:pPr>
        <w:pStyle w:val="BodyText"/>
        <w:spacing w:line="249" w:lineRule="auto" w:before="10"/>
        <w:ind w:left="234"/>
      </w:pPr>
      <w:r>
        <w:rPr/>
        <w:t>Art. 1º - Suspender as atividades do Ministério Público do Estado de Alagoas, no dia 28/10/2024, segunda-feira (Dia do servidor </w:t>
      </w:r>
      <w:r>
        <w:rPr>
          <w:spacing w:val="-2"/>
        </w:rPr>
        <w:t>público).</w:t>
      </w:r>
    </w:p>
    <w:p>
      <w:pPr>
        <w:pStyle w:val="BodyText"/>
        <w:spacing w:line="249" w:lineRule="auto" w:before="1"/>
        <w:ind w:left="234" w:right="2291"/>
      </w:pPr>
      <w:r>
        <w:rPr/>
        <w:t>Art.</w:t>
      </w:r>
      <w:r>
        <w:rPr>
          <w:spacing w:val="-3"/>
        </w:rPr>
        <w:t> </w:t>
      </w:r>
      <w:r>
        <w:rPr/>
        <w:t>2º</w:t>
      </w:r>
      <w:r>
        <w:rPr>
          <w:spacing w:val="-3"/>
        </w:rPr>
        <w:t> </w:t>
      </w:r>
      <w:r>
        <w:rPr/>
        <w:t>–</w:t>
      </w:r>
      <w:r>
        <w:rPr>
          <w:spacing w:val="-3"/>
        </w:rPr>
        <w:t> </w:t>
      </w:r>
      <w:r>
        <w:rPr/>
        <w:t>Este</w:t>
      </w:r>
      <w:r>
        <w:rPr>
          <w:spacing w:val="-3"/>
        </w:rPr>
        <w:t> </w:t>
      </w:r>
      <w:r>
        <w:rPr/>
        <w:t>ato</w:t>
      </w:r>
      <w:r>
        <w:rPr>
          <w:spacing w:val="-3"/>
        </w:rPr>
        <w:t> </w:t>
      </w:r>
      <w:r>
        <w:rPr/>
        <w:t>entra</w:t>
      </w:r>
      <w:r>
        <w:rPr>
          <w:spacing w:val="-3"/>
        </w:rPr>
        <w:t> </w:t>
      </w:r>
      <w:r>
        <w:rPr/>
        <w:t>em</w:t>
      </w:r>
      <w:r>
        <w:rPr>
          <w:spacing w:val="-3"/>
        </w:rPr>
        <w:t> </w:t>
      </w:r>
      <w:r>
        <w:rPr/>
        <w:t>vigor</w:t>
      </w:r>
      <w:r>
        <w:rPr>
          <w:spacing w:val="-3"/>
        </w:rPr>
        <w:t> </w:t>
      </w:r>
      <w:r>
        <w:rPr/>
        <w:t>na</w:t>
      </w:r>
      <w:r>
        <w:rPr>
          <w:spacing w:val="-3"/>
        </w:rPr>
        <w:t> </w:t>
      </w:r>
      <w:r>
        <w:rPr/>
        <w:t>data</w:t>
      </w:r>
      <w:r>
        <w:rPr>
          <w:spacing w:val="-3"/>
        </w:rPr>
        <w:t> </w:t>
      </w:r>
      <w:r>
        <w:rPr/>
        <w:t>da</w:t>
      </w:r>
      <w:r>
        <w:rPr>
          <w:spacing w:val="-3"/>
        </w:rPr>
        <w:t> </w:t>
      </w:r>
      <w:r>
        <w:rPr/>
        <w:t>sua</w:t>
      </w:r>
      <w:r>
        <w:rPr>
          <w:spacing w:val="-3"/>
        </w:rPr>
        <w:t> </w:t>
      </w:r>
      <w:r>
        <w:rPr/>
        <w:t>publicação,</w:t>
      </w:r>
      <w:r>
        <w:rPr>
          <w:spacing w:val="-3"/>
        </w:rPr>
        <w:t> </w:t>
      </w:r>
      <w:r>
        <w:rPr/>
        <w:t>revogando-se</w:t>
      </w:r>
      <w:r>
        <w:rPr>
          <w:spacing w:val="-3"/>
        </w:rPr>
        <w:t> </w:t>
      </w:r>
      <w:r>
        <w:rPr/>
        <w:t>as</w:t>
      </w:r>
      <w:r>
        <w:rPr>
          <w:spacing w:val="-3"/>
        </w:rPr>
        <w:t> </w:t>
      </w:r>
      <w:r>
        <w:rPr/>
        <w:t>disposições</w:t>
      </w:r>
      <w:r>
        <w:rPr>
          <w:spacing w:val="-3"/>
        </w:rPr>
        <w:t> </w:t>
      </w:r>
      <w:r>
        <w:rPr/>
        <w:t>em</w:t>
      </w:r>
      <w:r>
        <w:rPr>
          <w:spacing w:val="-3"/>
        </w:rPr>
        <w:t> </w:t>
      </w:r>
      <w:r>
        <w:rPr/>
        <w:t>contrário. Publique-se. Cumpra-se.</w:t>
      </w:r>
    </w:p>
    <w:p>
      <w:pPr>
        <w:pStyle w:val="BodyText"/>
        <w:spacing w:before="1"/>
        <w:ind w:left="234"/>
      </w:pPr>
      <w:r>
        <w:rPr/>
        <w:t>Gabinete do Procurador-Geral de Justiça, em Maceió, 15 de outubro de </w:t>
      </w:r>
      <w:r>
        <w:rPr>
          <w:spacing w:val="-2"/>
        </w:rPr>
        <w:t>2024.</w:t>
      </w:r>
    </w:p>
    <w:p>
      <w:pPr>
        <w:pStyle w:val="BodyText"/>
        <w:spacing w:before="18"/>
      </w:pPr>
    </w:p>
    <w:p>
      <w:pPr>
        <w:pStyle w:val="Heading2"/>
      </w:pPr>
      <w:r>
        <w:rPr/>
        <w:t>LEAN ANTÔNIO FERREIRA DE </w:t>
      </w:r>
      <w:r>
        <w:rPr>
          <w:spacing w:val="-2"/>
        </w:rPr>
        <w:t>ARAÚJO</w:t>
      </w:r>
    </w:p>
    <w:p>
      <w:pPr>
        <w:pStyle w:val="BodyText"/>
        <w:spacing w:before="10"/>
        <w:ind w:left="234"/>
      </w:pPr>
      <w:r>
        <w:rPr/>
        <w:t>Procurador-Geral de </w:t>
      </w:r>
      <w:r>
        <w:rPr>
          <w:spacing w:val="-2"/>
        </w:rPr>
        <w:t>Justiça</w:t>
      </w:r>
    </w:p>
    <w:p>
      <w:pPr>
        <w:pStyle w:val="BodyText"/>
        <w:spacing w:before="17"/>
      </w:pPr>
    </w:p>
    <w:p>
      <w:pPr>
        <w:pStyle w:val="Heading1"/>
      </w:pPr>
      <w:r>
        <w:rPr/>
        <w:t>Despachos do Procurador-Geral de </w:t>
      </w:r>
      <w:r>
        <w:rPr>
          <w:spacing w:val="-2"/>
        </w:rPr>
        <w:t>Justiça</w:t>
      </w:r>
    </w:p>
    <w:p>
      <w:pPr>
        <w:pStyle w:val="BodyText"/>
        <w:spacing w:before="41"/>
        <w:rPr>
          <w:rFonts w:ascii="Arial"/>
          <w:b/>
        </w:rPr>
      </w:pPr>
    </w:p>
    <w:p>
      <w:pPr>
        <w:pStyle w:val="Heading2"/>
        <w:spacing w:line="249" w:lineRule="auto"/>
      </w:pPr>
      <w:r>
        <w:rPr/>
        <w:t>O</w:t>
      </w:r>
      <w:r>
        <w:rPr>
          <w:spacing w:val="40"/>
        </w:rPr>
        <w:t> </w:t>
      </w:r>
      <w:r>
        <w:rPr/>
        <w:t>PROCURADOR-GERAL</w:t>
      </w:r>
      <w:r>
        <w:rPr>
          <w:spacing w:val="40"/>
        </w:rPr>
        <w:t> </w:t>
      </w:r>
      <w:r>
        <w:rPr/>
        <w:t>DE</w:t>
      </w:r>
      <w:r>
        <w:rPr>
          <w:spacing w:val="40"/>
        </w:rPr>
        <w:t> </w:t>
      </w:r>
      <w:r>
        <w:rPr/>
        <w:t>JUSTIÇA</w:t>
      </w:r>
      <w:r>
        <w:rPr>
          <w:spacing w:val="40"/>
        </w:rPr>
        <w:t> </w:t>
      </w:r>
      <w:r>
        <w:rPr/>
        <w:t>DO</w:t>
      </w:r>
      <w:r>
        <w:rPr>
          <w:spacing w:val="40"/>
        </w:rPr>
        <w:t> </w:t>
      </w:r>
      <w:r>
        <w:rPr/>
        <w:t>MINISTÉRIO</w:t>
      </w:r>
      <w:r>
        <w:rPr>
          <w:spacing w:val="40"/>
        </w:rPr>
        <w:t> </w:t>
      </w:r>
      <w:r>
        <w:rPr/>
        <w:t>PÚBLICO</w:t>
      </w:r>
      <w:r>
        <w:rPr>
          <w:spacing w:val="40"/>
        </w:rPr>
        <w:t> </w:t>
      </w:r>
      <w:r>
        <w:rPr/>
        <w:t>DO</w:t>
      </w:r>
      <w:r>
        <w:rPr>
          <w:spacing w:val="40"/>
        </w:rPr>
        <w:t> </w:t>
      </w:r>
      <w:r>
        <w:rPr/>
        <w:t>ESTADO</w:t>
      </w:r>
      <w:r>
        <w:rPr>
          <w:spacing w:val="40"/>
        </w:rPr>
        <w:t> </w:t>
      </w:r>
      <w:r>
        <w:rPr/>
        <w:t>DE</w:t>
      </w:r>
      <w:r>
        <w:rPr>
          <w:spacing w:val="40"/>
        </w:rPr>
        <w:t> </w:t>
      </w:r>
      <w:r>
        <w:rPr/>
        <w:t>ALAGOAS,</w:t>
      </w:r>
      <w:r>
        <w:rPr>
          <w:spacing w:val="40"/>
        </w:rPr>
        <w:t> </w:t>
      </w:r>
      <w:r>
        <w:rPr/>
        <w:t>DR.</w:t>
      </w:r>
      <w:r>
        <w:rPr>
          <w:spacing w:val="40"/>
        </w:rPr>
        <w:t> </w:t>
      </w:r>
      <w:r>
        <w:rPr/>
        <w:t>LEAN</w:t>
      </w:r>
      <w:r>
        <w:rPr>
          <w:spacing w:val="40"/>
        </w:rPr>
        <w:t> </w:t>
      </w:r>
      <w:r>
        <w:rPr/>
        <w:t>ANTÔNIO FERREIRA DE ARAÚJO, DESPACHOU, NO DIA 17 DE OUTUBRO DE 2024, OS SEGUINTES PROCESSOS:</w:t>
      </w:r>
    </w:p>
    <w:p>
      <w:pPr>
        <w:pStyle w:val="BodyText"/>
        <w:spacing w:before="10"/>
      </w:pPr>
    </w:p>
    <w:p>
      <w:pPr>
        <w:spacing w:before="0"/>
        <w:ind w:left="234" w:right="0" w:firstLine="0"/>
        <w:jc w:val="both"/>
        <w:rPr>
          <w:sz w:val="18"/>
        </w:rPr>
      </w:pPr>
      <w:r>
        <w:rPr>
          <w:sz w:val="18"/>
        </w:rPr>
        <w:t>GED: 20.08.1353.0000140/2024-</w:t>
      </w:r>
      <w:r>
        <w:rPr>
          <w:spacing w:val="-5"/>
          <w:sz w:val="18"/>
        </w:rPr>
        <w:t>56</w:t>
      </w:r>
    </w:p>
    <w:p>
      <w:pPr>
        <w:pStyle w:val="BodyText"/>
        <w:spacing w:line="249" w:lineRule="auto" w:before="9"/>
        <w:ind w:left="234" w:right="6869"/>
        <w:jc w:val="both"/>
      </w:pPr>
      <w:r>
        <w:rPr/>
        <w:t>Interessado:</w:t>
      </w:r>
      <w:r>
        <w:rPr>
          <w:spacing w:val="-8"/>
        </w:rPr>
        <w:t> </w:t>
      </w:r>
      <w:r>
        <w:rPr/>
        <w:t>Seção</w:t>
      </w:r>
      <w:r>
        <w:rPr>
          <w:spacing w:val="-8"/>
        </w:rPr>
        <w:t> </w:t>
      </w:r>
      <w:r>
        <w:rPr/>
        <w:t>de</w:t>
      </w:r>
      <w:r>
        <w:rPr>
          <w:spacing w:val="-8"/>
        </w:rPr>
        <w:t> </w:t>
      </w:r>
      <w:r>
        <w:rPr/>
        <w:t>Engenharia</w:t>
      </w:r>
      <w:r>
        <w:rPr>
          <w:spacing w:val="-8"/>
        </w:rPr>
        <w:t> </w:t>
      </w:r>
      <w:r>
        <w:rPr/>
        <w:t>desta</w:t>
      </w:r>
      <w:r>
        <w:rPr>
          <w:spacing w:val="-8"/>
        </w:rPr>
        <w:t> </w:t>
      </w:r>
      <w:r>
        <w:rPr/>
        <w:t>PGJ Assunto: contratação de empresa</w:t>
      </w:r>
    </w:p>
    <w:p>
      <w:pPr>
        <w:pStyle w:val="BodyText"/>
        <w:spacing w:line="249" w:lineRule="auto" w:before="2"/>
        <w:ind w:left="234" w:right="204"/>
        <w:jc w:val="both"/>
      </w:pPr>
      <w:r>
        <w:rPr/>
        <w:t>Despacho: Acolho o parecer da Consultoria Jurídica com a seguinte ementa: "Administrativo. Licitações e Contratos.</w:t>
      </w:r>
      <w:r>
        <w:rPr>
          <w:spacing w:val="40"/>
        </w:rPr>
        <w:t> </w:t>
      </w:r>
      <w:r>
        <w:rPr/>
        <w:t>Contratação de serviços comuns de engenharia para elaboração do projeto elétrico de sistema de proteção contra descargas atmosféricas (SPA) referente ao novo prédio das Promotorias de Justiça de Santana do Ipanema. Orçamento nº 394/2024, elaborado pelo setor de compras. Aplicação do art. 75, inciso I, da Lei nº 14.133/2021, atualizado, nos moldes do Decreto nº 11.871, de 29 de dezembro de 2023. Possibilidade de contratação direta pelo menor preço. Existência de disponibilidade orçamentária</w:t>
      </w:r>
      <w:r>
        <w:rPr>
          <w:spacing w:val="80"/>
        </w:rPr>
        <w:t> </w:t>
      </w:r>
      <w:r>
        <w:rPr/>
        <w:t>e</w:t>
      </w:r>
      <w:r>
        <w:rPr>
          <w:spacing w:val="80"/>
        </w:rPr>
        <w:t> </w:t>
      </w:r>
      <w:r>
        <w:rPr/>
        <w:t>financeira</w:t>
      </w:r>
      <w:r>
        <w:rPr>
          <w:spacing w:val="80"/>
        </w:rPr>
        <w:t> </w:t>
      </w:r>
      <w:r>
        <w:rPr/>
        <w:t>para</w:t>
      </w:r>
      <w:r>
        <w:rPr>
          <w:spacing w:val="80"/>
        </w:rPr>
        <w:t> </w:t>
      </w:r>
      <w:r>
        <w:rPr/>
        <w:t>o</w:t>
      </w:r>
      <w:r>
        <w:rPr>
          <w:spacing w:val="80"/>
        </w:rPr>
        <w:t> </w:t>
      </w:r>
      <w:r>
        <w:rPr/>
        <w:t>atendimento</w:t>
      </w:r>
      <w:r>
        <w:rPr>
          <w:spacing w:val="80"/>
        </w:rPr>
        <w:t> </w:t>
      </w:r>
      <w:r>
        <w:rPr/>
        <w:t>da</w:t>
      </w:r>
      <w:r>
        <w:rPr>
          <w:spacing w:val="80"/>
        </w:rPr>
        <w:t> </w:t>
      </w:r>
      <w:r>
        <w:rPr/>
        <w:t>despesa.</w:t>
      </w:r>
      <w:r>
        <w:rPr>
          <w:spacing w:val="80"/>
        </w:rPr>
        <w:t> </w:t>
      </w:r>
      <w:r>
        <w:rPr/>
        <w:t>Pelo</w:t>
      </w:r>
      <w:r>
        <w:rPr>
          <w:spacing w:val="80"/>
        </w:rPr>
        <w:t> </w:t>
      </w:r>
      <w:r>
        <w:rPr/>
        <w:t>deferimento</w:t>
      </w:r>
      <w:r>
        <w:rPr>
          <w:spacing w:val="80"/>
        </w:rPr>
        <w:t> </w:t>
      </w:r>
      <w:r>
        <w:rPr/>
        <w:t>da</w:t>
      </w:r>
      <w:r>
        <w:rPr>
          <w:spacing w:val="80"/>
        </w:rPr>
        <w:t> </w:t>
      </w:r>
      <w:r>
        <w:rPr/>
        <w:t>contratação</w:t>
      </w:r>
      <w:r>
        <w:rPr>
          <w:spacing w:val="80"/>
        </w:rPr>
        <w:t> </w:t>
      </w:r>
      <w:r>
        <w:rPr/>
        <w:t>de</w:t>
      </w:r>
      <w:r>
        <w:rPr>
          <w:spacing w:val="80"/>
        </w:rPr>
        <w:t> </w:t>
      </w:r>
      <w:r>
        <w:rPr/>
        <w:t>RAFT</w:t>
      </w:r>
      <w:r>
        <w:rPr>
          <w:spacing w:val="80"/>
        </w:rPr>
        <w:t> </w:t>
      </w:r>
      <w:r>
        <w:rPr/>
        <w:t>PROJETOS</w:t>
      </w:r>
    </w:p>
    <w:sectPr>
      <w:headerReference w:type="default" r:id="rId5"/>
      <w:footerReference w:type="default" r:id="rId6"/>
      <w:type w:val="continuous"/>
      <w:pgSz w:w="11900" w:h="16840"/>
      <w:pgMar w:header="99" w:footer="725" w:top="780" w:bottom="920" w:left="566" w:right="566"/>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7248">
              <wp:simplePos x="0" y="0"/>
              <wp:positionH relativeFrom="page">
                <wp:posOffset>431800</wp:posOffset>
              </wp:positionH>
              <wp:positionV relativeFrom="page">
                <wp:posOffset>10058400</wp:posOffset>
              </wp:positionV>
              <wp:extent cx="66929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9232"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77760">
              <wp:simplePos x="0" y="0"/>
              <wp:positionH relativeFrom="page">
                <wp:posOffset>1027683</wp:posOffset>
              </wp:positionH>
              <wp:positionV relativeFrom="page">
                <wp:posOffset>10080724</wp:posOffset>
              </wp:positionV>
              <wp:extent cx="550227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 style="position:absolute;margin-left:80.919998pt;margin-top:793.757813pt;width:433.25pt;height:10.95pt;mso-position-horizontal-relative:page;mso-position-vertical-relative:page;z-index:-15838720" type="#_x0000_t202" id="docshape2"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8272">
              <wp:simplePos x="0" y="0"/>
              <wp:positionH relativeFrom="page">
                <wp:posOffset>7015988</wp:posOffset>
              </wp:positionH>
              <wp:positionV relativeFrom="page">
                <wp:posOffset>10235530</wp:posOffset>
              </wp:positionV>
              <wp:extent cx="9652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6520" cy="167640"/>
                      </a:xfrm>
                      <a:prstGeom prst="rect">
                        <a:avLst/>
                      </a:prstGeom>
                    </wps:spPr>
                    <wps:txbx>
                      <w:txbxContent>
                        <w:p>
                          <w:pPr>
                            <w:spacing w:before="13"/>
                            <w:ind w:left="20" w:right="0" w:firstLine="0"/>
                            <w:jc w:val="left"/>
                            <w:rPr>
                              <w:rFonts w:ascii="Arial"/>
                              <w:b/>
                              <w:sz w:val="20"/>
                            </w:rPr>
                          </w:pPr>
                          <w:r>
                            <w:rPr>
                              <w:rFonts w:ascii="Arial"/>
                              <w:b/>
                              <w:spacing w:val="-10"/>
                              <w:sz w:val="20"/>
                            </w:rPr>
                            <w:t>1</w:t>
                          </w:r>
                        </w:p>
                      </w:txbxContent>
                    </wps:txbx>
                    <wps:bodyPr wrap="square" lIns="0" tIns="0" rIns="0" bIns="0" rtlCol="0">
                      <a:noAutofit/>
                    </wps:bodyPr>
                  </wps:wsp>
                </a:graphicData>
              </a:graphic>
            </wp:anchor>
          </w:drawing>
        </mc:Choice>
        <mc:Fallback>
          <w:pict>
            <v:shape style="position:absolute;margin-left:552.440002pt;margin-top:805.947266pt;width:7.6pt;height:13.2pt;mso-position-horizontal-relative:page;mso-position-vertical-relative:page;z-index:-15838208" type="#_x0000_t202" id="docshape3" filled="false" stroked="false">
              <v:textbox inset="0,0,0,0">
                <w:txbxContent>
                  <w:p>
                    <w:pPr>
                      <w:spacing w:before="13"/>
                      <w:ind w:left="20" w:right="0" w:firstLine="0"/>
                      <w:jc w:val="left"/>
                      <w:rPr>
                        <w:rFonts w:ascii="Arial"/>
                        <w:b/>
                        <w:sz w:val="20"/>
                      </w:rPr>
                    </w:pPr>
                    <w:r>
                      <w:rPr>
                        <w:rFonts w:ascii="Arial"/>
                        <w:b/>
                        <w:spacing w:val="-10"/>
                        <w:sz w:val="20"/>
                      </w:rPr>
                      <w:t>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6736">
              <wp:simplePos x="0" y="0"/>
              <wp:positionH relativeFrom="page">
                <wp:posOffset>4780153</wp:posOffset>
              </wp:positionH>
              <wp:positionV relativeFrom="page">
                <wp:posOffset>50465</wp:posOffset>
              </wp:positionV>
              <wp:extent cx="2428875" cy="1917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28875" cy="191770"/>
                      </a:xfrm>
                      <a:prstGeom prst="rect">
                        <a:avLst/>
                      </a:prstGeom>
                    </wps:spPr>
                    <wps:txbx>
                      <w:txbxContent>
                        <w:p>
                          <w:pPr>
                            <w:spacing w:line="312" w:lineRule="auto" w:before="2"/>
                            <w:ind w:left="1289" w:right="18"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6.390015pt;margin-top:3.973633pt;width:191.25pt;height:15.1pt;mso-position-horizontal-relative:page;mso-position-vertical-relative:page;z-index:-15839744" type="#_x0000_t202" id="docshape1" filled="false" stroked="false">
              <v:textbox inset="0,0,0,0">
                <w:txbxContent>
                  <w:p>
                    <w:pPr>
                      <w:spacing w:line="312" w:lineRule="auto" w:before="2"/>
                      <w:ind w:left="1289" w:right="18"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18"/>
      <w:szCs w:val="18"/>
      <w:lang w:val="pt-PT" w:eastAsia="en-US" w:bidi="ar-SA"/>
    </w:rPr>
  </w:style>
  <w:style w:styleId="Heading1" w:type="paragraph">
    <w:name w:val="Heading 1"/>
    <w:basedOn w:val="Normal"/>
    <w:uiPriority w:val="1"/>
    <w:qFormat/>
    <w:pPr>
      <w:spacing w:before="1"/>
      <w:jc w:val="center"/>
      <w:outlineLvl w:val="1"/>
    </w:pPr>
    <w:rPr>
      <w:rFonts w:ascii="Arial" w:hAnsi="Arial" w:eastAsia="Arial" w:cs="Arial"/>
      <w:b/>
      <w:bCs/>
      <w:sz w:val="18"/>
      <w:szCs w:val="18"/>
      <w:lang w:val="pt-PT" w:eastAsia="en-US" w:bidi="ar-SA"/>
    </w:rPr>
  </w:style>
  <w:style w:styleId="Heading2" w:type="paragraph">
    <w:name w:val="Heading 2"/>
    <w:basedOn w:val="Normal"/>
    <w:uiPriority w:val="1"/>
    <w:qFormat/>
    <w:pPr>
      <w:ind w:left="234"/>
      <w:outlineLvl w:val="2"/>
    </w:pPr>
    <w:rPr>
      <w:rFonts w:ascii="Arial MT" w:hAnsi="Arial MT" w:eastAsia="Arial MT" w:cs="Arial MT"/>
      <w:sz w:val="18"/>
      <w:szCs w:val="18"/>
      <w:lang w:val="pt-PT" w:eastAsia="en-US" w:bidi="ar-SA"/>
    </w:rPr>
  </w:style>
  <w:style w:styleId="Title" w:type="paragraph">
    <w:name w:val="Title"/>
    <w:basedOn w:val="Normal"/>
    <w:uiPriority w:val="1"/>
    <w:qFormat/>
    <w:pPr>
      <w:spacing w:before="168"/>
      <w:jc w:val="center"/>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2025-07-18T15:56:22Z</dcterms:created>
  <dcterms:modified xsi:type="dcterms:W3CDTF">2025-07-18T15:56:22Z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2025-07-09T00:00:00Z</vt:filetime>
  </property>
</Properties>
</file>