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12" w:lineRule="auto" w:before="76"/>
        <w:ind w:left="8251" w:right="0" w:hanging="1270"/>
        <w:jc w:val="left"/>
        <w:rPr>
          <w:sz w:val="10"/>
        </w:rPr>
      </w:pPr>
      <w:r>
        <w:rPr>
          <w:sz w:val="10"/>
        </w:rPr>
        <w:t>Assinado</w:t>
      </w:r>
      <w:r>
        <w:rPr>
          <w:spacing w:val="-5"/>
          <w:sz w:val="10"/>
        </w:rPr>
        <w:t> </w:t>
      </w:r>
      <w:r>
        <w:rPr>
          <w:sz w:val="10"/>
        </w:rPr>
        <w:t>digitalmente</w:t>
      </w:r>
      <w:r>
        <w:rPr>
          <w:spacing w:val="-5"/>
          <w:sz w:val="10"/>
        </w:rPr>
        <w:t> </w:t>
      </w:r>
      <w:r>
        <w:rPr>
          <w:sz w:val="10"/>
        </w:rPr>
        <w:t>por:</w:t>
      </w:r>
      <w:r>
        <w:rPr>
          <w:spacing w:val="-5"/>
          <w:sz w:val="10"/>
        </w:rPr>
        <w:t> </w:t>
      </w:r>
      <w:r>
        <w:rPr>
          <w:sz w:val="10"/>
        </w:rPr>
        <w:t>PROCURADORIA</w:t>
      </w:r>
      <w:r>
        <w:rPr>
          <w:spacing w:val="-5"/>
          <w:sz w:val="10"/>
        </w:rPr>
        <w:t> </w:t>
      </w:r>
      <w:r>
        <w:rPr>
          <w:sz w:val="10"/>
        </w:rPr>
        <w:t>GERAL</w:t>
      </w:r>
      <w:r>
        <w:rPr>
          <w:spacing w:val="-5"/>
          <w:sz w:val="10"/>
        </w:rPr>
        <w:t> </w:t>
      </w:r>
      <w:r>
        <w:rPr>
          <w:sz w:val="10"/>
        </w:rPr>
        <w:t>DE</w:t>
      </w:r>
      <w:r>
        <w:rPr>
          <w:spacing w:val="-5"/>
          <w:sz w:val="10"/>
        </w:rPr>
        <w:t> </w:t>
      </w:r>
      <w:r>
        <w:rPr>
          <w:sz w:val="10"/>
        </w:rPr>
        <w:t>JUSTICA</w:t>
      </w:r>
      <w:r>
        <w:rPr>
          <w:spacing w:val="-5"/>
          <w:sz w:val="10"/>
        </w:rPr>
        <w:t> </w:t>
      </w:r>
      <w:r>
        <w:rPr>
          <w:sz w:val="10"/>
        </w:rPr>
        <w:t>DO</w:t>
      </w:r>
      <w:r>
        <w:rPr>
          <w:spacing w:val="-5"/>
          <w:sz w:val="10"/>
        </w:rPr>
        <w:t> </w:t>
      </w:r>
      <w:r>
        <w:rPr>
          <w:sz w:val="10"/>
        </w:rPr>
        <w:t>ESTADO</w:t>
      </w:r>
      <w:r>
        <w:rPr>
          <w:spacing w:val="-5"/>
          <w:sz w:val="10"/>
        </w:rPr>
        <w:t> </w:t>
      </w:r>
      <w:r>
        <w:rPr>
          <w:sz w:val="10"/>
        </w:rPr>
        <w:t>DE</w:t>
      </w:r>
      <w:r>
        <w:rPr>
          <w:spacing w:val="40"/>
          <w:sz w:val="10"/>
        </w:rPr>
        <w:t> </w:t>
      </w:r>
      <w:r>
        <w:rPr>
          <w:spacing w:val="-2"/>
          <w:sz w:val="10"/>
        </w:rPr>
        <w:t>ALAGOA:12472734000152.</w:t>
      </w:r>
    </w:p>
    <w:p>
      <w:pPr>
        <w:pStyle w:val="BodyText"/>
        <w:spacing w:before="150"/>
        <w:ind w:left="0"/>
        <w:rPr>
          <w:sz w:val="20"/>
        </w:rPr>
      </w:pPr>
      <w:r>
        <w:rPr>
          <w:sz w:val="20"/>
        </w:rPr>
        <w:drawing>
          <wp:anchor distT="0" distB="0" distL="0" distR="0" allowOverlap="1" layoutInCell="1" locked="0" behindDoc="1" simplePos="0" relativeHeight="487587840">
            <wp:simplePos x="0" y="0"/>
            <wp:positionH relativeFrom="page">
              <wp:posOffset>456451</wp:posOffset>
            </wp:positionH>
            <wp:positionV relativeFrom="paragraph">
              <wp:posOffset>256817</wp:posOffset>
            </wp:positionV>
            <wp:extent cx="6686116" cy="786288"/>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6686116" cy="786288"/>
                    </a:xfrm>
                    <a:prstGeom prst="rect">
                      <a:avLst/>
                    </a:prstGeom>
                  </pic:spPr>
                </pic:pic>
              </a:graphicData>
            </a:graphic>
          </wp:anchor>
        </w:drawing>
      </w:r>
    </w:p>
    <w:p>
      <w:pPr>
        <w:pStyle w:val="BodyText"/>
        <w:tabs>
          <w:tab w:pos="9438" w:val="left" w:leader="none"/>
        </w:tabs>
        <w:spacing w:before="134"/>
        <w:ind w:left="113"/>
      </w:pPr>
      <w:r>
        <w:rPr/>
        <w:t>Data de disponibilização: 26 de setembro de </w:t>
      </w:r>
      <w:r>
        <w:rPr>
          <w:spacing w:val="-4"/>
        </w:rPr>
        <w:t>2024</w:t>
      </w:r>
      <w:r>
        <w:rPr/>
        <w:tab/>
        <w:t>Edição nº </w:t>
      </w:r>
      <w:r>
        <w:rPr>
          <w:spacing w:val="-4"/>
        </w:rPr>
        <w:t>1217</w:t>
      </w:r>
    </w:p>
    <w:p>
      <w:pPr>
        <w:pStyle w:val="BodyText"/>
        <w:spacing w:before="11"/>
        <w:ind w:left="0"/>
        <w:rPr>
          <w:sz w:val="11"/>
        </w:rPr>
      </w:pPr>
      <w:r>
        <w:rPr>
          <w:sz w:val="11"/>
        </w:rPr>
        <mc:AlternateContent>
          <mc:Choice Requires="wps">
            <w:drawing>
              <wp:anchor distT="0" distB="0" distL="0" distR="0" allowOverlap="1" layoutInCell="1" locked="0" behindDoc="1" simplePos="0" relativeHeight="487588352">
                <wp:simplePos x="0" y="0"/>
                <wp:positionH relativeFrom="page">
                  <wp:posOffset>431800</wp:posOffset>
                </wp:positionH>
                <wp:positionV relativeFrom="paragraph">
                  <wp:posOffset>102841</wp:posOffset>
                </wp:positionV>
                <wp:extent cx="66929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shape style="position:absolute;margin-left:34pt;margin-top:8.097782pt;width:527pt;height:.1pt;mso-position-horizontal-relative:page;mso-position-vertical-relative:paragraph;z-index:-15728128;mso-wrap-distance-left:0;mso-wrap-distance-right:0" id="docshape3" coordorigin="680,162" coordsize="10540,0" path="m680,162l11220,162e" filled="false" stroked="true" strokeweight=".5pt" strokecolor="#00336a">
                <v:path arrowok="t"/>
                <v:stroke dashstyle="solid"/>
                <w10:wrap type="topAndBottom"/>
              </v:shape>
            </w:pict>
          </mc:Fallback>
        </mc:AlternateContent>
      </w:r>
    </w:p>
    <w:p>
      <w:pPr>
        <w:pStyle w:val="BodyText"/>
        <w:spacing w:before="16" w:after="1"/>
        <w:ind w:left="0"/>
        <w:rPr>
          <w:sz w:val="20"/>
        </w:rPr>
      </w:pPr>
    </w:p>
    <w:tbl>
      <w:tblPr>
        <w:tblW w:w="0" w:type="auto"/>
        <w:jc w:val="left"/>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69"/>
        <w:gridCol w:w="3755"/>
        <w:gridCol w:w="3190"/>
      </w:tblGrid>
      <w:tr>
        <w:trPr>
          <w:trHeight w:val="503" w:hRule="atLeast"/>
        </w:trPr>
        <w:tc>
          <w:tcPr>
            <w:tcW w:w="3369" w:type="dxa"/>
            <w:tcBorders>
              <w:top w:val="single" w:sz="6" w:space="0" w:color="00336A"/>
              <w:left w:val="single" w:sz="6" w:space="0" w:color="00336A"/>
            </w:tcBorders>
          </w:tcPr>
          <w:p>
            <w:pPr>
              <w:pStyle w:val="TableParagraph"/>
              <w:jc w:val="left"/>
              <w:rPr>
                <w:rFonts w:ascii="Times New Roman"/>
                <w:sz w:val="16"/>
              </w:rPr>
            </w:pPr>
          </w:p>
        </w:tc>
        <w:tc>
          <w:tcPr>
            <w:tcW w:w="3755" w:type="dxa"/>
            <w:tcBorders>
              <w:top w:val="single" w:sz="6" w:space="0" w:color="00336A"/>
            </w:tcBorders>
          </w:tcPr>
          <w:p>
            <w:pPr>
              <w:pStyle w:val="TableParagraph"/>
              <w:spacing w:line="171" w:lineRule="exact" w:before="72"/>
              <w:ind w:right="161"/>
              <w:rPr>
                <w:rFonts w:ascii="Arial" w:hAnsi="Arial"/>
                <w:b/>
                <w:sz w:val="15"/>
              </w:rPr>
            </w:pPr>
            <w:r>
              <w:rPr>
                <w:rFonts w:ascii="Arial" w:hAnsi="Arial"/>
                <w:b/>
                <w:sz w:val="15"/>
              </w:rPr>
              <w:t>LEAN ANTÔNIO FERREIRA DE </w:t>
            </w:r>
            <w:r>
              <w:rPr>
                <w:rFonts w:ascii="Arial" w:hAnsi="Arial"/>
                <w:b/>
                <w:spacing w:val="-2"/>
                <w:sz w:val="15"/>
              </w:rPr>
              <w:t>ARAÚJO</w:t>
            </w:r>
          </w:p>
          <w:p>
            <w:pPr>
              <w:pStyle w:val="TableParagraph"/>
              <w:spacing w:line="171" w:lineRule="exact"/>
              <w:ind w:right="160"/>
              <w:rPr>
                <w:sz w:val="15"/>
              </w:rPr>
            </w:pPr>
            <w:r>
              <w:rPr>
                <w:sz w:val="15"/>
              </w:rPr>
              <w:t>PROCURADOR-GERAL DE </w:t>
            </w:r>
            <w:r>
              <w:rPr>
                <w:spacing w:val="-2"/>
                <w:sz w:val="15"/>
              </w:rPr>
              <w:t>JUSTIÇA</w:t>
            </w:r>
          </w:p>
        </w:tc>
        <w:tc>
          <w:tcPr>
            <w:tcW w:w="3190" w:type="dxa"/>
            <w:tcBorders>
              <w:top w:val="single" w:sz="6" w:space="0" w:color="00336A"/>
              <w:right w:val="single" w:sz="6" w:space="0" w:color="00336A"/>
            </w:tcBorders>
          </w:tcPr>
          <w:p>
            <w:pPr>
              <w:pStyle w:val="TableParagraph"/>
              <w:jc w:val="left"/>
              <w:rPr>
                <w:rFonts w:ascii="Times New Roman"/>
                <w:sz w:val="16"/>
              </w:rPr>
            </w:pPr>
          </w:p>
        </w:tc>
      </w:tr>
      <w:tr>
        <w:trPr>
          <w:trHeight w:val="258" w:hRule="atLeast"/>
        </w:trPr>
        <w:tc>
          <w:tcPr>
            <w:tcW w:w="3369" w:type="dxa"/>
            <w:tcBorders>
              <w:left w:val="single" w:sz="6" w:space="0" w:color="00336A"/>
            </w:tcBorders>
          </w:tcPr>
          <w:p>
            <w:pPr>
              <w:pStyle w:val="TableParagraph"/>
              <w:spacing w:line="153" w:lineRule="exact" w:before="85"/>
              <w:ind w:left="139"/>
              <w:rPr>
                <w:rFonts w:ascii="Arial" w:hAnsi="Arial"/>
                <w:b/>
                <w:sz w:val="15"/>
              </w:rPr>
            </w:pPr>
            <w:r>
              <w:rPr>
                <w:rFonts w:ascii="Arial" w:hAnsi="Arial"/>
                <w:b/>
                <w:sz w:val="15"/>
              </w:rPr>
              <w:t>WALBER JOSÉ VALENTE DE </w:t>
            </w:r>
            <w:r>
              <w:rPr>
                <w:rFonts w:ascii="Arial" w:hAnsi="Arial"/>
                <w:b/>
                <w:spacing w:val="-4"/>
                <w:sz w:val="15"/>
              </w:rPr>
              <w:t>LIMA</w:t>
            </w:r>
          </w:p>
        </w:tc>
        <w:tc>
          <w:tcPr>
            <w:tcW w:w="3755" w:type="dxa"/>
          </w:tcPr>
          <w:p>
            <w:pPr>
              <w:pStyle w:val="TableParagraph"/>
              <w:spacing w:line="153" w:lineRule="exact" w:before="85"/>
              <w:ind w:right="182"/>
              <w:rPr>
                <w:rFonts w:ascii="Arial" w:hAnsi="Arial"/>
                <w:b/>
                <w:sz w:val="15"/>
              </w:rPr>
            </w:pPr>
            <w:r>
              <w:rPr>
                <w:rFonts w:ascii="Arial" w:hAnsi="Arial"/>
                <w:b/>
                <w:sz w:val="15"/>
              </w:rPr>
              <w:t>SÉRGIO ROCHA CAVALCANTI </w:t>
            </w:r>
            <w:r>
              <w:rPr>
                <w:rFonts w:ascii="Arial" w:hAnsi="Arial"/>
                <w:b/>
                <w:spacing w:val="-4"/>
                <w:sz w:val="15"/>
              </w:rPr>
              <w:t>JUCÁ</w:t>
            </w:r>
          </w:p>
        </w:tc>
        <w:tc>
          <w:tcPr>
            <w:tcW w:w="3190" w:type="dxa"/>
            <w:tcBorders>
              <w:right w:val="single" w:sz="6" w:space="0" w:color="00336A"/>
            </w:tcBorders>
          </w:tcPr>
          <w:p>
            <w:pPr>
              <w:pStyle w:val="TableParagraph"/>
              <w:spacing w:line="153" w:lineRule="exact" w:before="85"/>
              <w:ind w:right="306"/>
              <w:rPr>
                <w:rFonts w:ascii="Arial" w:hAnsi="Arial"/>
                <w:b/>
                <w:sz w:val="15"/>
              </w:rPr>
            </w:pPr>
            <w:r>
              <w:rPr>
                <w:rFonts w:ascii="Arial" w:hAnsi="Arial"/>
                <w:b/>
                <w:sz w:val="15"/>
              </w:rPr>
              <w:t>VALTER JOSÉ DE OMENA </w:t>
            </w:r>
            <w:r>
              <w:rPr>
                <w:rFonts w:ascii="Arial" w:hAnsi="Arial"/>
                <w:b/>
                <w:spacing w:val="-2"/>
                <w:sz w:val="15"/>
              </w:rPr>
              <w:t>ACIOLY</w:t>
            </w:r>
          </w:p>
        </w:tc>
      </w:tr>
      <w:tr>
        <w:trPr>
          <w:trHeight w:val="221" w:hRule="atLeast"/>
        </w:trPr>
        <w:tc>
          <w:tcPr>
            <w:tcW w:w="3369" w:type="dxa"/>
            <w:tcBorders>
              <w:left w:val="single" w:sz="6" w:space="0" w:color="00336A"/>
            </w:tcBorders>
          </w:tcPr>
          <w:p>
            <w:pPr>
              <w:pStyle w:val="TableParagraph"/>
              <w:spacing w:line="168" w:lineRule="exact"/>
              <w:ind w:left="133" w:right="-15"/>
              <w:rPr>
                <w:sz w:val="15"/>
              </w:rPr>
            </w:pPr>
            <w:r>
              <w:rPr>
                <w:sz w:val="15"/>
              </w:rPr>
              <w:t>Subprocurador-Geral Administrativo-</w:t>
            </w:r>
            <w:r>
              <w:rPr>
                <w:spacing w:val="-2"/>
                <w:sz w:val="15"/>
              </w:rPr>
              <w:t>Institucional</w:t>
            </w:r>
          </w:p>
        </w:tc>
        <w:tc>
          <w:tcPr>
            <w:tcW w:w="3755" w:type="dxa"/>
          </w:tcPr>
          <w:p>
            <w:pPr>
              <w:pStyle w:val="TableParagraph"/>
              <w:spacing w:line="168" w:lineRule="exact"/>
              <w:ind w:right="181"/>
              <w:rPr>
                <w:sz w:val="15"/>
              </w:rPr>
            </w:pPr>
            <w:r>
              <w:rPr>
                <w:sz w:val="15"/>
              </w:rPr>
              <w:t>Subprocurador-Geral </w:t>
            </w:r>
            <w:r>
              <w:rPr>
                <w:spacing w:val="-2"/>
                <w:sz w:val="15"/>
              </w:rPr>
              <w:t>Judicial</w:t>
            </w:r>
          </w:p>
        </w:tc>
        <w:tc>
          <w:tcPr>
            <w:tcW w:w="3190" w:type="dxa"/>
            <w:tcBorders>
              <w:right w:val="single" w:sz="6" w:space="0" w:color="00336A"/>
            </w:tcBorders>
          </w:tcPr>
          <w:p>
            <w:pPr>
              <w:pStyle w:val="TableParagraph"/>
              <w:spacing w:line="168" w:lineRule="exact"/>
              <w:ind w:left="1" w:right="306"/>
              <w:rPr>
                <w:sz w:val="15"/>
              </w:rPr>
            </w:pPr>
            <w:r>
              <w:rPr>
                <w:sz w:val="15"/>
              </w:rPr>
              <w:t>Subprocurador-Geral </w:t>
            </w:r>
            <w:r>
              <w:rPr>
                <w:spacing w:val="-2"/>
                <w:sz w:val="15"/>
              </w:rPr>
              <w:t>Recursal</w:t>
            </w:r>
          </w:p>
        </w:tc>
      </w:tr>
      <w:tr>
        <w:trPr>
          <w:trHeight w:val="493" w:hRule="atLeast"/>
        </w:trPr>
        <w:tc>
          <w:tcPr>
            <w:tcW w:w="10314" w:type="dxa"/>
            <w:gridSpan w:val="3"/>
            <w:tcBorders>
              <w:left w:val="single" w:sz="6" w:space="0" w:color="00336A"/>
              <w:bottom w:val="single" w:sz="6" w:space="0" w:color="00336A"/>
              <w:right w:val="single" w:sz="6" w:space="0" w:color="00336A"/>
            </w:tcBorders>
          </w:tcPr>
          <w:p>
            <w:pPr>
              <w:pStyle w:val="TableParagraph"/>
              <w:tabs>
                <w:tab w:pos="6632" w:val="left" w:leader="none"/>
              </w:tabs>
              <w:spacing w:line="171" w:lineRule="exact" w:before="48"/>
              <w:ind w:left="1347"/>
              <w:jc w:val="left"/>
              <w:rPr>
                <w:rFonts w:ascii="Arial" w:hAnsi="Arial"/>
                <w:b/>
                <w:sz w:val="15"/>
              </w:rPr>
            </w:pPr>
            <w:r>
              <w:rPr>
                <w:rFonts w:ascii="Arial" w:hAnsi="Arial"/>
                <w:b/>
                <w:sz w:val="15"/>
              </w:rPr>
              <w:t>MAURÍCIO ANDRÉ BARROS </w:t>
            </w:r>
            <w:r>
              <w:rPr>
                <w:rFonts w:ascii="Arial" w:hAnsi="Arial"/>
                <w:b/>
                <w:spacing w:val="-2"/>
                <w:sz w:val="15"/>
              </w:rPr>
              <w:t>PITTA</w:t>
            </w:r>
            <w:r>
              <w:rPr>
                <w:rFonts w:ascii="Arial" w:hAnsi="Arial"/>
                <w:b/>
                <w:sz w:val="15"/>
              </w:rPr>
              <w:tab/>
              <w:t>EDUARDO</w:t>
            </w:r>
            <w:r>
              <w:rPr>
                <w:rFonts w:ascii="Arial" w:hAnsi="Arial"/>
                <w:b/>
                <w:spacing w:val="-2"/>
                <w:sz w:val="15"/>
              </w:rPr>
              <w:t> </w:t>
            </w:r>
            <w:r>
              <w:rPr>
                <w:rFonts w:ascii="Arial" w:hAnsi="Arial"/>
                <w:b/>
                <w:sz w:val="15"/>
              </w:rPr>
              <w:t>TAVARES </w:t>
            </w:r>
            <w:r>
              <w:rPr>
                <w:rFonts w:ascii="Arial" w:hAnsi="Arial"/>
                <w:b/>
                <w:spacing w:val="-2"/>
                <w:sz w:val="15"/>
              </w:rPr>
              <w:t>MENDES</w:t>
            </w:r>
          </w:p>
          <w:p>
            <w:pPr>
              <w:pStyle w:val="TableParagraph"/>
              <w:tabs>
                <w:tab w:pos="6757" w:val="left" w:leader="none"/>
              </w:tabs>
              <w:spacing w:line="171" w:lineRule="exact"/>
              <w:ind w:left="1297"/>
              <w:jc w:val="left"/>
              <w:rPr>
                <w:sz w:val="15"/>
              </w:rPr>
            </w:pPr>
            <w:r>
              <w:rPr>
                <w:sz w:val="15"/>
              </w:rPr>
              <w:t>Corregedor-Geral do Ministério </w:t>
            </w:r>
            <w:r>
              <w:rPr>
                <w:spacing w:val="-2"/>
                <w:sz w:val="15"/>
              </w:rPr>
              <w:t>Público</w:t>
            </w:r>
            <w:r>
              <w:rPr>
                <w:sz w:val="15"/>
              </w:rPr>
              <w:tab/>
              <w:t>Ouvidor do Ministério </w:t>
            </w:r>
            <w:r>
              <w:rPr>
                <w:spacing w:val="-2"/>
                <w:sz w:val="15"/>
              </w:rPr>
              <w:t>Público</w:t>
            </w:r>
          </w:p>
        </w:tc>
      </w:tr>
    </w:tbl>
    <w:p>
      <w:pPr>
        <w:pStyle w:val="BodyText"/>
        <w:spacing w:before="8"/>
        <w:ind w:left="0"/>
        <w:rPr>
          <w:sz w:val="6"/>
        </w:rPr>
      </w:pPr>
    </w:p>
    <w:tbl>
      <w:tblPr>
        <w:tblW w:w="0" w:type="auto"/>
        <w:jc w:val="left"/>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69"/>
        <w:gridCol w:w="3755"/>
        <w:gridCol w:w="3190"/>
      </w:tblGrid>
      <w:tr>
        <w:trPr>
          <w:trHeight w:val="344" w:hRule="atLeast"/>
        </w:trPr>
        <w:tc>
          <w:tcPr>
            <w:tcW w:w="3369" w:type="dxa"/>
            <w:vMerge w:val="restart"/>
            <w:tcBorders>
              <w:top w:val="single" w:sz="6" w:space="0" w:color="00336A"/>
              <w:left w:val="single" w:sz="6" w:space="0" w:color="00336A"/>
            </w:tcBorders>
          </w:tcPr>
          <w:p>
            <w:pPr>
              <w:pStyle w:val="TableParagraph"/>
              <w:jc w:val="left"/>
              <w:rPr>
                <w:rFonts w:ascii="Times New Roman"/>
                <w:sz w:val="16"/>
              </w:rPr>
            </w:pPr>
          </w:p>
        </w:tc>
        <w:tc>
          <w:tcPr>
            <w:tcW w:w="3755" w:type="dxa"/>
            <w:tcBorders>
              <w:top w:val="single" w:sz="6" w:space="0" w:color="00336A"/>
            </w:tcBorders>
          </w:tcPr>
          <w:p>
            <w:pPr>
              <w:pStyle w:val="TableParagraph"/>
              <w:spacing w:line="168" w:lineRule="exact"/>
              <w:ind w:right="161"/>
              <w:rPr>
                <w:rFonts w:ascii="Arial" w:hAnsi="Arial"/>
                <w:b/>
                <w:sz w:val="15"/>
              </w:rPr>
            </w:pPr>
            <w:r>
              <w:rPr>
                <w:rFonts w:ascii="Arial" w:hAnsi="Arial"/>
                <w:b/>
                <w:sz w:val="15"/>
              </w:rPr>
              <w:t>COLÉGIO DE PROCURADORES DE </w:t>
            </w:r>
            <w:r>
              <w:rPr>
                <w:rFonts w:ascii="Arial" w:hAnsi="Arial"/>
                <w:b/>
                <w:spacing w:val="-2"/>
                <w:sz w:val="15"/>
              </w:rPr>
              <w:t>JUSTIÇA</w:t>
            </w:r>
          </w:p>
          <w:p>
            <w:pPr>
              <w:pStyle w:val="TableParagraph"/>
              <w:spacing w:line="157" w:lineRule="exact"/>
              <w:ind w:right="160"/>
              <w:rPr>
                <w:sz w:val="15"/>
              </w:rPr>
            </w:pPr>
            <w:r>
              <w:rPr>
                <w:sz w:val="15"/>
              </w:rPr>
              <w:t>Lean Antônio Ferreira de </w:t>
            </w:r>
            <w:r>
              <w:rPr>
                <w:spacing w:val="-2"/>
                <w:sz w:val="15"/>
              </w:rPr>
              <w:t>Araújo</w:t>
            </w:r>
          </w:p>
        </w:tc>
        <w:tc>
          <w:tcPr>
            <w:tcW w:w="3190" w:type="dxa"/>
            <w:vMerge w:val="restart"/>
            <w:tcBorders>
              <w:top w:val="single" w:sz="6" w:space="0" w:color="00336A"/>
              <w:right w:val="single" w:sz="6" w:space="0" w:color="00336A"/>
            </w:tcBorders>
          </w:tcPr>
          <w:p>
            <w:pPr>
              <w:pStyle w:val="TableParagraph"/>
              <w:jc w:val="left"/>
              <w:rPr>
                <w:rFonts w:ascii="Times New Roman"/>
                <w:sz w:val="16"/>
              </w:rPr>
            </w:pPr>
          </w:p>
        </w:tc>
      </w:tr>
      <w:tr>
        <w:trPr>
          <w:trHeight w:val="264" w:hRule="atLeast"/>
        </w:trPr>
        <w:tc>
          <w:tcPr>
            <w:tcW w:w="3369" w:type="dxa"/>
            <w:vMerge/>
            <w:tcBorders>
              <w:top w:val="nil"/>
              <w:left w:val="single" w:sz="6" w:space="0" w:color="00336A"/>
            </w:tcBorders>
          </w:tcPr>
          <w:p>
            <w:pPr>
              <w:rPr>
                <w:sz w:val="2"/>
                <w:szCs w:val="2"/>
              </w:rPr>
            </w:pPr>
          </w:p>
        </w:tc>
        <w:tc>
          <w:tcPr>
            <w:tcW w:w="3755" w:type="dxa"/>
          </w:tcPr>
          <w:p>
            <w:pPr>
              <w:pStyle w:val="TableParagraph"/>
              <w:spacing w:before="1"/>
              <w:ind w:right="161"/>
              <w:rPr>
                <w:rFonts w:ascii="Arial"/>
                <w:b/>
                <w:sz w:val="15"/>
              </w:rPr>
            </w:pPr>
            <w:r>
              <w:rPr>
                <w:rFonts w:ascii="Arial"/>
                <w:b/>
                <w:spacing w:val="-2"/>
                <w:sz w:val="15"/>
              </w:rPr>
              <w:t>Presidente</w:t>
            </w:r>
          </w:p>
        </w:tc>
        <w:tc>
          <w:tcPr>
            <w:tcW w:w="3190" w:type="dxa"/>
            <w:vMerge/>
            <w:tcBorders>
              <w:top w:val="nil"/>
              <w:right w:val="single" w:sz="6" w:space="0" w:color="00336A"/>
            </w:tcBorders>
          </w:tcPr>
          <w:p>
            <w:pPr>
              <w:rPr>
                <w:sz w:val="2"/>
                <w:szCs w:val="2"/>
              </w:rPr>
            </w:pPr>
          </w:p>
        </w:tc>
      </w:tr>
      <w:tr>
        <w:trPr>
          <w:trHeight w:val="258" w:hRule="atLeast"/>
        </w:trPr>
        <w:tc>
          <w:tcPr>
            <w:tcW w:w="3369" w:type="dxa"/>
            <w:tcBorders>
              <w:left w:val="single" w:sz="6" w:space="0" w:color="00336A"/>
            </w:tcBorders>
          </w:tcPr>
          <w:p>
            <w:pPr>
              <w:pStyle w:val="TableParagraph"/>
              <w:spacing w:line="153" w:lineRule="exact" w:before="85"/>
              <w:ind w:left="139" w:right="22"/>
              <w:rPr>
                <w:sz w:val="15"/>
              </w:rPr>
            </w:pPr>
            <w:r>
              <w:rPr>
                <w:sz w:val="15"/>
              </w:rPr>
              <w:t>Sérgio Rocha Cavalcanti </w:t>
            </w:r>
            <w:r>
              <w:rPr>
                <w:spacing w:val="-4"/>
                <w:sz w:val="15"/>
              </w:rPr>
              <w:t>Jucá</w:t>
            </w:r>
          </w:p>
        </w:tc>
        <w:tc>
          <w:tcPr>
            <w:tcW w:w="3755" w:type="dxa"/>
          </w:tcPr>
          <w:p>
            <w:pPr>
              <w:pStyle w:val="TableParagraph"/>
              <w:spacing w:line="153" w:lineRule="exact" w:before="85"/>
              <w:ind w:right="131"/>
              <w:rPr>
                <w:sz w:val="15"/>
              </w:rPr>
            </w:pPr>
            <w:r>
              <w:rPr>
                <w:sz w:val="15"/>
              </w:rPr>
              <w:t>Walber José Valente de </w:t>
            </w:r>
            <w:r>
              <w:rPr>
                <w:spacing w:val="-4"/>
                <w:sz w:val="15"/>
              </w:rPr>
              <w:t>Lima</w:t>
            </w:r>
          </w:p>
        </w:tc>
        <w:tc>
          <w:tcPr>
            <w:tcW w:w="3190" w:type="dxa"/>
            <w:tcBorders>
              <w:right w:val="single" w:sz="6" w:space="0" w:color="00336A"/>
            </w:tcBorders>
          </w:tcPr>
          <w:p>
            <w:pPr>
              <w:pStyle w:val="TableParagraph"/>
              <w:spacing w:line="153" w:lineRule="exact" w:before="85"/>
              <w:ind w:left="75" w:right="306"/>
              <w:rPr>
                <w:sz w:val="15"/>
              </w:rPr>
            </w:pPr>
            <w:r>
              <w:rPr>
                <w:sz w:val="15"/>
              </w:rPr>
              <w:t>Lean Antônio Ferreira de </w:t>
            </w:r>
            <w:r>
              <w:rPr>
                <w:spacing w:val="-2"/>
                <w:sz w:val="15"/>
              </w:rPr>
              <w:t>Araújo</w:t>
            </w:r>
          </w:p>
        </w:tc>
      </w:tr>
      <w:tr>
        <w:trPr>
          <w:trHeight w:val="168" w:hRule="atLeast"/>
        </w:trPr>
        <w:tc>
          <w:tcPr>
            <w:tcW w:w="3369" w:type="dxa"/>
            <w:tcBorders>
              <w:left w:val="single" w:sz="6" w:space="0" w:color="00336A"/>
            </w:tcBorders>
          </w:tcPr>
          <w:p>
            <w:pPr>
              <w:pStyle w:val="TableParagraph"/>
              <w:spacing w:line="149" w:lineRule="exact"/>
              <w:ind w:left="139" w:right="22"/>
              <w:rPr>
                <w:sz w:val="15"/>
              </w:rPr>
            </w:pPr>
            <w:r>
              <w:rPr>
                <w:sz w:val="15"/>
              </w:rPr>
              <w:t>Dennis Lima </w:t>
            </w:r>
            <w:r>
              <w:rPr>
                <w:spacing w:val="-2"/>
                <w:sz w:val="15"/>
              </w:rPr>
              <w:t>Calheiros</w:t>
            </w:r>
          </w:p>
        </w:tc>
        <w:tc>
          <w:tcPr>
            <w:tcW w:w="3755" w:type="dxa"/>
          </w:tcPr>
          <w:p>
            <w:pPr>
              <w:pStyle w:val="TableParagraph"/>
              <w:spacing w:line="149" w:lineRule="exact"/>
              <w:ind w:right="131"/>
              <w:rPr>
                <w:sz w:val="15"/>
              </w:rPr>
            </w:pPr>
            <w:r>
              <w:rPr>
                <w:sz w:val="15"/>
              </w:rPr>
              <w:t>Vicente Felix </w:t>
            </w:r>
            <w:r>
              <w:rPr>
                <w:spacing w:val="-2"/>
                <w:sz w:val="15"/>
              </w:rPr>
              <w:t>Correia</w:t>
            </w:r>
          </w:p>
        </w:tc>
        <w:tc>
          <w:tcPr>
            <w:tcW w:w="3190" w:type="dxa"/>
            <w:tcBorders>
              <w:right w:val="single" w:sz="6" w:space="0" w:color="00336A"/>
            </w:tcBorders>
          </w:tcPr>
          <w:p>
            <w:pPr>
              <w:pStyle w:val="TableParagraph"/>
              <w:spacing w:line="149" w:lineRule="exact"/>
              <w:ind w:left="75" w:right="306"/>
              <w:rPr>
                <w:sz w:val="15"/>
              </w:rPr>
            </w:pPr>
            <w:r>
              <w:rPr>
                <w:sz w:val="15"/>
              </w:rPr>
              <w:t>Eduardo Tavares </w:t>
            </w:r>
            <w:r>
              <w:rPr>
                <w:spacing w:val="-2"/>
                <w:sz w:val="15"/>
              </w:rPr>
              <w:t>Mendes</w:t>
            </w:r>
          </w:p>
        </w:tc>
      </w:tr>
      <w:tr>
        <w:trPr>
          <w:trHeight w:val="168" w:hRule="atLeast"/>
        </w:trPr>
        <w:tc>
          <w:tcPr>
            <w:tcW w:w="3369" w:type="dxa"/>
            <w:tcBorders>
              <w:left w:val="single" w:sz="6" w:space="0" w:color="00336A"/>
            </w:tcBorders>
          </w:tcPr>
          <w:p>
            <w:pPr>
              <w:pStyle w:val="TableParagraph"/>
              <w:spacing w:line="149" w:lineRule="exact"/>
              <w:ind w:left="139" w:right="23"/>
              <w:rPr>
                <w:sz w:val="15"/>
              </w:rPr>
            </w:pPr>
            <w:r>
              <w:rPr>
                <w:sz w:val="15"/>
              </w:rPr>
              <w:t>Marcos Barros </w:t>
            </w:r>
            <w:r>
              <w:rPr>
                <w:spacing w:val="-4"/>
                <w:sz w:val="15"/>
              </w:rPr>
              <w:t>Méro</w:t>
            </w:r>
          </w:p>
        </w:tc>
        <w:tc>
          <w:tcPr>
            <w:tcW w:w="3755" w:type="dxa"/>
          </w:tcPr>
          <w:p>
            <w:pPr>
              <w:pStyle w:val="TableParagraph"/>
              <w:spacing w:line="149" w:lineRule="exact"/>
              <w:ind w:right="130"/>
              <w:rPr>
                <w:sz w:val="15"/>
              </w:rPr>
            </w:pPr>
            <w:r>
              <w:rPr>
                <w:sz w:val="15"/>
              </w:rPr>
              <w:t>Valter José de Omena </w:t>
            </w:r>
            <w:r>
              <w:rPr>
                <w:spacing w:val="-2"/>
                <w:sz w:val="15"/>
              </w:rPr>
              <w:t>Acioly</w:t>
            </w:r>
          </w:p>
        </w:tc>
        <w:tc>
          <w:tcPr>
            <w:tcW w:w="3190" w:type="dxa"/>
            <w:tcBorders>
              <w:right w:val="single" w:sz="6" w:space="0" w:color="00336A"/>
            </w:tcBorders>
          </w:tcPr>
          <w:p>
            <w:pPr>
              <w:pStyle w:val="TableParagraph"/>
              <w:spacing w:line="149" w:lineRule="exact"/>
              <w:ind w:left="75" w:right="306"/>
              <w:rPr>
                <w:sz w:val="15"/>
              </w:rPr>
            </w:pPr>
            <w:r>
              <w:rPr>
                <w:sz w:val="15"/>
              </w:rPr>
              <w:t>Denise Guimarães de </w:t>
            </w:r>
            <w:r>
              <w:rPr>
                <w:spacing w:val="-2"/>
                <w:sz w:val="15"/>
              </w:rPr>
              <w:t>Oliveira</w:t>
            </w:r>
          </w:p>
        </w:tc>
      </w:tr>
      <w:tr>
        <w:trPr>
          <w:trHeight w:val="168" w:hRule="atLeast"/>
        </w:trPr>
        <w:tc>
          <w:tcPr>
            <w:tcW w:w="3369" w:type="dxa"/>
            <w:tcBorders>
              <w:left w:val="single" w:sz="6" w:space="0" w:color="00336A"/>
            </w:tcBorders>
          </w:tcPr>
          <w:p>
            <w:pPr>
              <w:pStyle w:val="TableParagraph"/>
              <w:spacing w:line="149" w:lineRule="exact"/>
              <w:ind w:left="139" w:right="23"/>
              <w:rPr>
                <w:sz w:val="15"/>
              </w:rPr>
            </w:pPr>
            <w:r>
              <w:rPr>
                <w:sz w:val="15"/>
              </w:rPr>
              <w:t>Maurício André Barros </w:t>
            </w:r>
            <w:r>
              <w:rPr>
                <w:spacing w:val="-2"/>
                <w:sz w:val="15"/>
              </w:rPr>
              <w:t>Pitta</w:t>
            </w:r>
          </w:p>
        </w:tc>
        <w:tc>
          <w:tcPr>
            <w:tcW w:w="3755" w:type="dxa"/>
          </w:tcPr>
          <w:p>
            <w:pPr>
              <w:pStyle w:val="TableParagraph"/>
              <w:spacing w:line="149" w:lineRule="exact"/>
              <w:ind w:right="130"/>
              <w:rPr>
                <w:sz w:val="15"/>
              </w:rPr>
            </w:pPr>
            <w:r>
              <w:rPr>
                <w:sz w:val="15"/>
              </w:rPr>
              <w:t>Isaac Sandes </w:t>
            </w:r>
            <w:r>
              <w:rPr>
                <w:spacing w:val="-4"/>
                <w:sz w:val="15"/>
              </w:rPr>
              <w:t>Dias</w:t>
            </w:r>
          </w:p>
        </w:tc>
        <w:tc>
          <w:tcPr>
            <w:tcW w:w="3190" w:type="dxa"/>
            <w:tcBorders>
              <w:right w:val="single" w:sz="6" w:space="0" w:color="00336A"/>
            </w:tcBorders>
          </w:tcPr>
          <w:p>
            <w:pPr>
              <w:pStyle w:val="TableParagraph"/>
              <w:spacing w:line="149" w:lineRule="exact"/>
              <w:ind w:left="75" w:right="306"/>
              <w:rPr>
                <w:sz w:val="15"/>
              </w:rPr>
            </w:pPr>
            <w:r>
              <w:rPr>
                <w:sz w:val="15"/>
              </w:rPr>
              <w:t>Sérgio Amaral </w:t>
            </w:r>
            <w:r>
              <w:rPr>
                <w:spacing w:val="-2"/>
                <w:sz w:val="15"/>
              </w:rPr>
              <w:t>Scala</w:t>
            </w:r>
          </w:p>
        </w:tc>
      </w:tr>
      <w:tr>
        <w:trPr>
          <w:trHeight w:val="366" w:hRule="atLeast"/>
        </w:trPr>
        <w:tc>
          <w:tcPr>
            <w:tcW w:w="3369" w:type="dxa"/>
            <w:tcBorders>
              <w:left w:val="single" w:sz="6" w:space="0" w:color="00336A"/>
              <w:bottom w:val="single" w:sz="6" w:space="0" w:color="00336A"/>
            </w:tcBorders>
          </w:tcPr>
          <w:p>
            <w:pPr>
              <w:pStyle w:val="TableParagraph"/>
              <w:spacing w:line="168" w:lineRule="exact"/>
              <w:ind w:left="139" w:right="23"/>
              <w:rPr>
                <w:sz w:val="15"/>
              </w:rPr>
            </w:pPr>
            <w:r>
              <w:rPr>
                <w:sz w:val="15"/>
              </w:rPr>
              <w:t>Helder de Arthur Jucá </w:t>
            </w:r>
            <w:r>
              <w:rPr>
                <w:spacing w:val="-2"/>
                <w:sz w:val="15"/>
              </w:rPr>
              <w:t>Filho</w:t>
            </w:r>
          </w:p>
        </w:tc>
        <w:tc>
          <w:tcPr>
            <w:tcW w:w="3755" w:type="dxa"/>
            <w:tcBorders>
              <w:bottom w:val="single" w:sz="6" w:space="0" w:color="00336A"/>
            </w:tcBorders>
          </w:tcPr>
          <w:p>
            <w:pPr>
              <w:pStyle w:val="TableParagraph"/>
              <w:spacing w:line="235" w:lineRule="auto"/>
              <w:ind w:left="839" w:right="592" w:hanging="42"/>
              <w:jc w:val="left"/>
              <w:rPr>
                <w:sz w:val="15"/>
              </w:rPr>
            </w:pPr>
            <w:r>
              <w:rPr>
                <w:sz w:val="15"/>
              </w:rPr>
              <w:t>Maria</w:t>
            </w:r>
            <w:r>
              <w:rPr>
                <w:spacing w:val="-11"/>
                <w:sz w:val="15"/>
              </w:rPr>
              <w:t> </w:t>
            </w:r>
            <w:r>
              <w:rPr>
                <w:sz w:val="15"/>
              </w:rPr>
              <w:t>Marluce</w:t>
            </w:r>
            <w:r>
              <w:rPr>
                <w:spacing w:val="-10"/>
                <w:sz w:val="15"/>
              </w:rPr>
              <w:t> </w:t>
            </w:r>
            <w:r>
              <w:rPr>
                <w:sz w:val="15"/>
              </w:rPr>
              <w:t>Caldas</w:t>
            </w:r>
            <w:r>
              <w:rPr>
                <w:spacing w:val="-11"/>
                <w:sz w:val="15"/>
              </w:rPr>
              <w:t> </w:t>
            </w:r>
            <w:r>
              <w:rPr>
                <w:sz w:val="15"/>
              </w:rPr>
              <w:t>Bezerra Neide Maria Camelo da </w:t>
            </w:r>
            <w:r>
              <w:rPr>
                <w:spacing w:val="-2"/>
                <w:sz w:val="15"/>
              </w:rPr>
              <w:t>Silva</w:t>
            </w:r>
          </w:p>
        </w:tc>
        <w:tc>
          <w:tcPr>
            <w:tcW w:w="3190" w:type="dxa"/>
            <w:tcBorders>
              <w:bottom w:val="single" w:sz="6" w:space="0" w:color="00336A"/>
              <w:right w:val="single" w:sz="6" w:space="0" w:color="00336A"/>
            </w:tcBorders>
          </w:tcPr>
          <w:p>
            <w:pPr>
              <w:pStyle w:val="TableParagraph"/>
              <w:spacing w:line="168" w:lineRule="exact"/>
              <w:ind w:left="75" w:right="306"/>
              <w:rPr>
                <w:sz w:val="15"/>
              </w:rPr>
            </w:pPr>
            <w:r>
              <w:rPr>
                <w:sz w:val="15"/>
              </w:rPr>
              <w:t>Kícia Oliveira Cabral de </w:t>
            </w:r>
            <w:r>
              <w:rPr>
                <w:spacing w:val="-2"/>
                <w:sz w:val="15"/>
              </w:rPr>
              <w:t>Vasconcellos</w:t>
            </w:r>
          </w:p>
        </w:tc>
      </w:tr>
      <w:tr>
        <w:trPr>
          <w:trHeight w:val="75" w:hRule="atLeast"/>
        </w:trPr>
        <w:tc>
          <w:tcPr>
            <w:tcW w:w="3369" w:type="dxa"/>
            <w:tcBorders>
              <w:top w:val="single" w:sz="6" w:space="0" w:color="00336A"/>
              <w:bottom w:val="single" w:sz="6" w:space="0" w:color="00336A"/>
            </w:tcBorders>
          </w:tcPr>
          <w:p>
            <w:pPr>
              <w:pStyle w:val="TableParagraph"/>
              <w:jc w:val="left"/>
              <w:rPr>
                <w:rFonts w:ascii="Times New Roman"/>
                <w:sz w:val="2"/>
              </w:rPr>
            </w:pPr>
          </w:p>
        </w:tc>
        <w:tc>
          <w:tcPr>
            <w:tcW w:w="3755" w:type="dxa"/>
            <w:tcBorders>
              <w:top w:val="single" w:sz="6" w:space="0" w:color="00336A"/>
              <w:bottom w:val="single" w:sz="6" w:space="0" w:color="00336A"/>
            </w:tcBorders>
          </w:tcPr>
          <w:p>
            <w:pPr>
              <w:pStyle w:val="TableParagraph"/>
              <w:jc w:val="left"/>
              <w:rPr>
                <w:rFonts w:ascii="Times New Roman"/>
                <w:sz w:val="2"/>
              </w:rPr>
            </w:pPr>
          </w:p>
        </w:tc>
        <w:tc>
          <w:tcPr>
            <w:tcW w:w="3190" w:type="dxa"/>
            <w:tcBorders>
              <w:top w:val="single" w:sz="6" w:space="0" w:color="00336A"/>
              <w:bottom w:val="single" w:sz="6" w:space="0" w:color="00336A"/>
            </w:tcBorders>
          </w:tcPr>
          <w:p>
            <w:pPr>
              <w:pStyle w:val="TableParagraph"/>
              <w:jc w:val="left"/>
              <w:rPr>
                <w:rFonts w:ascii="Times New Roman"/>
                <w:sz w:val="2"/>
              </w:rPr>
            </w:pPr>
          </w:p>
        </w:tc>
      </w:tr>
      <w:tr>
        <w:trPr>
          <w:trHeight w:val="344" w:hRule="atLeast"/>
        </w:trPr>
        <w:tc>
          <w:tcPr>
            <w:tcW w:w="3369" w:type="dxa"/>
            <w:tcBorders>
              <w:top w:val="single" w:sz="6" w:space="0" w:color="00336A"/>
              <w:left w:val="single" w:sz="6" w:space="0" w:color="00336A"/>
            </w:tcBorders>
          </w:tcPr>
          <w:p>
            <w:pPr>
              <w:pStyle w:val="TableParagraph"/>
              <w:jc w:val="left"/>
              <w:rPr>
                <w:rFonts w:ascii="Times New Roman"/>
                <w:sz w:val="16"/>
              </w:rPr>
            </w:pPr>
          </w:p>
        </w:tc>
        <w:tc>
          <w:tcPr>
            <w:tcW w:w="3755" w:type="dxa"/>
            <w:tcBorders>
              <w:top w:val="single" w:sz="6" w:space="0" w:color="00336A"/>
            </w:tcBorders>
          </w:tcPr>
          <w:p>
            <w:pPr>
              <w:pStyle w:val="TableParagraph"/>
              <w:spacing w:line="168" w:lineRule="exact"/>
              <w:ind w:right="161"/>
              <w:rPr>
                <w:rFonts w:ascii="Arial" w:hAnsi="Arial"/>
                <w:b/>
                <w:sz w:val="15"/>
              </w:rPr>
            </w:pPr>
            <w:r>
              <w:rPr>
                <w:rFonts w:ascii="Arial" w:hAnsi="Arial"/>
                <w:b/>
                <w:sz w:val="15"/>
              </w:rPr>
              <w:t>CONSELHO SUPERIOR DO MINISTÉRIO </w:t>
            </w:r>
            <w:r>
              <w:rPr>
                <w:rFonts w:ascii="Arial" w:hAnsi="Arial"/>
                <w:b/>
                <w:spacing w:val="-2"/>
                <w:sz w:val="15"/>
              </w:rPr>
              <w:t>PÚBLICO</w:t>
            </w:r>
          </w:p>
          <w:p>
            <w:pPr>
              <w:pStyle w:val="TableParagraph"/>
              <w:spacing w:line="157" w:lineRule="exact"/>
              <w:ind w:right="160"/>
              <w:rPr>
                <w:sz w:val="15"/>
              </w:rPr>
            </w:pPr>
            <w:r>
              <w:rPr>
                <w:sz w:val="15"/>
              </w:rPr>
              <w:t>Lean Antônio Ferreira de </w:t>
            </w:r>
            <w:r>
              <w:rPr>
                <w:spacing w:val="-2"/>
                <w:sz w:val="15"/>
              </w:rPr>
              <w:t>Araújo</w:t>
            </w:r>
          </w:p>
        </w:tc>
        <w:tc>
          <w:tcPr>
            <w:tcW w:w="3190" w:type="dxa"/>
            <w:tcBorders>
              <w:top w:val="single" w:sz="6" w:space="0" w:color="00336A"/>
              <w:right w:val="single" w:sz="6" w:space="0" w:color="00336A"/>
            </w:tcBorders>
          </w:tcPr>
          <w:p>
            <w:pPr>
              <w:pStyle w:val="TableParagraph"/>
              <w:jc w:val="left"/>
              <w:rPr>
                <w:rFonts w:ascii="Times New Roman"/>
                <w:sz w:val="16"/>
              </w:rPr>
            </w:pPr>
          </w:p>
        </w:tc>
      </w:tr>
      <w:tr>
        <w:trPr>
          <w:trHeight w:val="264" w:hRule="atLeast"/>
        </w:trPr>
        <w:tc>
          <w:tcPr>
            <w:tcW w:w="3369" w:type="dxa"/>
            <w:tcBorders>
              <w:left w:val="single" w:sz="6" w:space="0" w:color="00336A"/>
            </w:tcBorders>
          </w:tcPr>
          <w:p>
            <w:pPr>
              <w:pStyle w:val="TableParagraph"/>
              <w:jc w:val="left"/>
              <w:rPr>
                <w:rFonts w:ascii="Times New Roman"/>
                <w:sz w:val="16"/>
              </w:rPr>
            </w:pPr>
          </w:p>
        </w:tc>
        <w:tc>
          <w:tcPr>
            <w:tcW w:w="3755" w:type="dxa"/>
          </w:tcPr>
          <w:p>
            <w:pPr>
              <w:pStyle w:val="TableParagraph"/>
              <w:spacing w:before="1"/>
              <w:ind w:right="161"/>
              <w:rPr>
                <w:rFonts w:ascii="Arial"/>
                <w:b/>
                <w:sz w:val="15"/>
              </w:rPr>
            </w:pPr>
            <w:r>
              <w:rPr>
                <w:rFonts w:ascii="Arial"/>
                <w:b/>
                <w:spacing w:val="-2"/>
                <w:sz w:val="15"/>
              </w:rPr>
              <w:t>Presidente</w:t>
            </w:r>
          </w:p>
        </w:tc>
        <w:tc>
          <w:tcPr>
            <w:tcW w:w="3190" w:type="dxa"/>
            <w:tcBorders>
              <w:right w:val="single" w:sz="6" w:space="0" w:color="00336A"/>
            </w:tcBorders>
          </w:tcPr>
          <w:p>
            <w:pPr>
              <w:pStyle w:val="TableParagraph"/>
              <w:jc w:val="left"/>
              <w:rPr>
                <w:rFonts w:ascii="Times New Roman"/>
                <w:sz w:val="16"/>
              </w:rPr>
            </w:pPr>
          </w:p>
        </w:tc>
      </w:tr>
      <w:tr>
        <w:trPr>
          <w:trHeight w:val="258" w:hRule="atLeast"/>
        </w:trPr>
        <w:tc>
          <w:tcPr>
            <w:tcW w:w="3369" w:type="dxa"/>
            <w:tcBorders>
              <w:left w:val="single" w:sz="6" w:space="0" w:color="00336A"/>
            </w:tcBorders>
          </w:tcPr>
          <w:p>
            <w:pPr>
              <w:pStyle w:val="TableParagraph"/>
              <w:spacing w:line="153" w:lineRule="exact" w:before="85"/>
              <w:ind w:left="139" w:right="22"/>
              <w:rPr>
                <w:sz w:val="15"/>
              </w:rPr>
            </w:pPr>
            <w:r>
              <w:rPr>
                <w:sz w:val="15"/>
              </w:rPr>
              <w:t>Sérgio Rocha Cavalcanti </w:t>
            </w:r>
            <w:r>
              <w:rPr>
                <w:spacing w:val="-4"/>
                <w:sz w:val="15"/>
              </w:rPr>
              <w:t>Jucá</w:t>
            </w:r>
          </w:p>
        </w:tc>
        <w:tc>
          <w:tcPr>
            <w:tcW w:w="3755" w:type="dxa"/>
          </w:tcPr>
          <w:p>
            <w:pPr>
              <w:pStyle w:val="TableParagraph"/>
              <w:spacing w:line="153" w:lineRule="exact" w:before="85"/>
              <w:ind w:right="130"/>
              <w:rPr>
                <w:sz w:val="15"/>
              </w:rPr>
            </w:pPr>
            <w:r>
              <w:rPr>
                <w:sz w:val="15"/>
              </w:rPr>
              <w:t>Lean Antônio Ferreira de </w:t>
            </w:r>
            <w:r>
              <w:rPr>
                <w:spacing w:val="-2"/>
                <w:sz w:val="15"/>
              </w:rPr>
              <w:t>Araújo</w:t>
            </w:r>
          </w:p>
        </w:tc>
        <w:tc>
          <w:tcPr>
            <w:tcW w:w="3190" w:type="dxa"/>
            <w:tcBorders>
              <w:right w:val="single" w:sz="6" w:space="0" w:color="00336A"/>
            </w:tcBorders>
          </w:tcPr>
          <w:p>
            <w:pPr>
              <w:pStyle w:val="TableParagraph"/>
              <w:spacing w:line="153" w:lineRule="exact" w:before="85"/>
              <w:ind w:left="74" w:right="306"/>
              <w:rPr>
                <w:sz w:val="15"/>
              </w:rPr>
            </w:pPr>
            <w:r>
              <w:rPr>
                <w:sz w:val="15"/>
              </w:rPr>
              <w:t>Marcos Barros </w:t>
            </w:r>
            <w:r>
              <w:rPr>
                <w:spacing w:val="-4"/>
                <w:sz w:val="15"/>
              </w:rPr>
              <w:t>Méro</w:t>
            </w:r>
          </w:p>
        </w:tc>
      </w:tr>
      <w:tr>
        <w:trPr>
          <w:trHeight w:val="366" w:hRule="atLeast"/>
        </w:trPr>
        <w:tc>
          <w:tcPr>
            <w:tcW w:w="3369" w:type="dxa"/>
            <w:tcBorders>
              <w:left w:val="single" w:sz="6" w:space="0" w:color="00336A"/>
              <w:bottom w:val="single" w:sz="6" w:space="0" w:color="00336A"/>
            </w:tcBorders>
          </w:tcPr>
          <w:p>
            <w:pPr>
              <w:pStyle w:val="TableParagraph"/>
              <w:spacing w:line="168" w:lineRule="exact"/>
              <w:ind w:left="139" w:right="23"/>
              <w:rPr>
                <w:sz w:val="15"/>
              </w:rPr>
            </w:pPr>
            <w:r>
              <w:rPr>
                <w:sz w:val="15"/>
              </w:rPr>
              <w:t>Maurício André Barros </w:t>
            </w:r>
            <w:r>
              <w:rPr>
                <w:spacing w:val="-2"/>
                <w:sz w:val="15"/>
              </w:rPr>
              <w:t>Pitta</w:t>
            </w:r>
          </w:p>
        </w:tc>
        <w:tc>
          <w:tcPr>
            <w:tcW w:w="3755" w:type="dxa"/>
            <w:tcBorders>
              <w:bottom w:val="single" w:sz="6" w:space="0" w:color="00336A"/>
            </w:tcBorders>
          </w:tcPr>
          <w:p>
            <w:pPr>
              <w:pStyle w:val="TableParagraph"/>
              <w:spacing w:line="166" w:lineRule="exact"/>
              <w:ind w:right="130"/>
              <w:rPr>
                <w:sz w:val="15"/>
              </w:rPr>
            </w:pPr>
            <w:r>
              <w:rPr>
                <w:sz w:val="15"/>
              </w:rPr>
              <w:t>Isaac Sandes </w:t>
            </w:r>
            <w:r>
              <w:rPr>
                <w:spacing w:val="-4"/>
                <w:sz w:val="15"/>
              </w:rPr>
              <w:t>Dias</w:t>
            </w:r>
          </w:p>
          <w:p>
            <w:pPr>
              <w:pStyle w:val="TableParagraph"/>
              <w:spacing w:line="171" w:lineRule="exact"/>
              <w:ind w:right="130"/>
              <w:rPr>
                <w:sz w:val="15"/>
              </w:rPr>
            </w:pPr>
            <w:r>
              <w:rPr>
                <w:sz w:val="15"/>
              </w:rPr>
              <w:t>Kícia Oliveira Cabral de </w:t>
            </w:r>
            <w:r>
              <w:rPr>
                <w:spacing w:val="-2"/>
                <w:sz w:val="15"/>
              </w:rPr>
              <w:t>Vasconcellos</w:t>
            </w:r>
          </w:p>
        </w:tc>
        <w:tc>
          <w:tcPr>
            <w:tcW w:w="3190" w:type="dxa"/>
            <w:tcBorders>
              <w:bottom w:val="single" w:sz="6" w:space="0" w:color="00336A"/>
              <w:right w:val="single" w:sz="6" w:space="0" w:color="00336A"/>
            </w:tcBorders>
          </w:tcPr>
          <w:p>
            <w:pPr>
              <w:pStyle w:val="TableParagraph"/>
              <w:spacing w:line="168" w:lineRule="exact"/>
              <w:ind w:left="75" w:right="306"/>
              <w:rPr>
                <w:sz w:val="15"/>
              </w:rPr>
            </w:pPr>
            <w:r>
              <w:rPr>
                <w:sz w:val="15"/>
              </w:rPr>
              <w:t>Maria Marluce Caldas </w:t>
            </w:r>
            <w:r>
              <w:rPr>
                <w:spacing w:val="-2"/>
                <w:sz w:val="15"/>
              </w:rPr>
              <w:t>Bezerra</w:t>
            </w:r>
          </w:p>
        </w:tc>
      </w:tr>
    </w:tbl>
    <w:p>
      <w:pPr>
        <w:pStyle w:val="BodyText"/>
        <w:spacing w:before="0"/>
        <w:ind w:left="0"/>
        <w:rPr>
          <w:sz w:val="20"/>
        </w:rPr>
      </w:pPr>
    </w:p>
    <w:p>
      <w:pPr>
        <w:pStyle w:val="BodyText"/>
        <w:spacing w:before="75"/>
        <w:ind w:left="0"/>
        <w:rPr>
          <w:sz w:val="20"/>
        </w:rPr>
      </w:pPr>
      <w:r>
        <w:rPr>
          <w:sz w:val="20"/>
        </w:rPr>
        <mc:AlternateContent>
          <mc:Choice Requires="wps">
            <w:drawing>
              <wp:anchor distT="0" distB="0" distL="0" distR="0" allowOverlap="1" layoutInCell="1" locked="0" behindDoc="1" simplePos="0" relativeHeight="487588864">
                <wp:simplePos x="0" y="0"/>
                <wp:positionH relativeFrom="page">
                  <wp:posOffset>1816100</wp:posOffset>
                </wp:positionH>
                <wp:positionV relativeFrom="paragraph">
                  <wp:posOffset>209054</wp:posOffset>
                </wp:positionV>
                <wp:extent cx="39243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3924300" cy="1270"/>
                        </a:xfrm>
                        <a:custGeom>
                          <a:avLst/>
                          <a:gdLst/>
                          <a:ahLst/>
                          <a:cxnLst/>
                          <a:rect l="l" t="t" r="r" b="b"/>
                          <a:pathLst>
                            <a:path w="3924300" h="0">
                              <a:moveTo>
                                <a:pt x="0" y="0"/>
                              </a:moveTo>
                              <a:lnTo>
                                <a:pt x="3924300" y="0"/>
                              </a:lnTo>
                            </a:path>
                          </a:pathLst>
                        </a:custGeom>
                        <a:ln w="19050">
                          <a:solidFill>
                            <a:srgbClr val="777777"/>
                          </a:solidFill>
                          <a:prstDash val="solid"/>
                        </a:ln>
                      </wps:spPr>
                      <wps:bodyPr wrap="square" lIns="0" tIns="0" rIns="0" bIns="0" rtlCol="0">
                        <a:prstTxWarp prst="textNoShape">
                          <a:avLst/>
                        </a:prstTxWarp>
                        <a:noAutofit/>
                      </wps:bodyPr>
                    </wps:wsp>
                  </a:graphicData>
                </a:graphic>
              </wp:anchor>
            </w:drawing>
          </mc:Choice>
          <mc:Fallback>
            <w:pict>
              <v:shape style="position:absolute;margin-left:143pt;margin-top:16.460976pt;width:309pt;height:.1pt;mso-position-horizontal-relative:page;mso-position-vertical-relative:paragraph;z-index:-15727616;mso-wrap-distance-left:0;mso-wrap-distance-right:0" id="docshape4" coordorigin="2860,329" coordsize="6180,0" path="m2860,329l9040,329e" filled="false" stroked="true" strokeweight="1.5pt" strokecolor="#777777">
                <v:path arrowok="t"/>
                <v:stroke dashstyle="solid"/>
                <w10:wrap type="topAndBottom"/>
              </v:shape>
            </w:pict>
          </mc:Fallback>
        </mc:AlternateContent>
      </w:r>
    </w:p>
    <w:p>
      <w:pPr>
        <w:pStyle w:val="Title"/>
      </w:pPr>
      <w:r>
        <w:rPr/>
        <w:t>Procuradoria-Geral de </w:t>
      </w:r>
      <w:r>
        <w:rPr>
          <w:spacing w:val="-2"/>
        </w:rPr>
        <w:t>Justiça</w:t>
      </w:r>
    </w:p>
    <w:p>
      <w:pPr>
        <w:pStyle w:val="BodyText"/>
        <w:spacing w:before="10"/>
        <w:ind w:left="0"/>
        <w:rPr>
          <w:rFonts w:ascii="Arial"/>
          <w:b/>
          <w:sz w:val="3"/>
        </w:rPr>
      </w:pPr>
      <w:r>
        <w:rPr>
          <w:rFonts w:ascii="Arial"/>
          <w:b/>
          <w:sz w:val="3"/>
        </w:rPr>
        <mc:AlternateContent>
          <mc:Choice Requires="wps">
            <w:drawing>
              <wp:anchor distT="0" distB="0" distL="0" distR="0" allowOverlap="1" layoutInCell="1" locked="0" behindDoc="1" simplePos="0" relativeHeight="487589376">
                <wp:simplePos x="0" y="0"/>
                <wp:positionH relativeFrom="page">
                  <wp:posOffset>1816100</wp:posOffset>
                </wp:positionH>
                <wp:positionV relativeFrom="paragraph">
                  <wp:posOffset>43829</wp:posOffset>
                </wp:positionV>
                <wp:extent cx="39243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3924300" cy="1270"/>
                        </a:xfrm>
                        <a:custGeom>
                          <a:avLst/>
                          <a:gdLst/>
                          <a:ahLst/>
                          <a:cxnLst/>
                          <a:rect l="l" t="t" r="r" b="b"/>
                          <a:pathLst>
                            <a:path w="3924300" h="0">
                              <a:moveTo>
                                <a:pt x="0" y="0"/>
                              </a:moveTo>
                              <a:lnTo>
                                <a:pt x="3924300" y="0"/>
                              </a:lnTo>
                            </a:path>
                          </a:pathLst>
                        </a:custGeom>
                        <a:ln w="19050">
                          <a:solidFill>
                            <a:srgbClr val="777777"/>
                          </a:solidFill>
                          <a:prstDash val="solid"/>
                        </a:ln>
                      </wps:spPr>
                      <wps:bodyPr wrap="square" lIns="0" tIns="0" rIns="0" bIns="0" rtlCol="0">
                        <a:prstTxWarp prst="textNoShape">
                          <a:avLst/>
                        </a:prstTxWarp>
                        <a:noAutofit/>
                      </wps:bodyPr>
                    </wps:wsp>
                  </a:graphicData>
                </a:graphic>
              </wp:anchor>
            </w:drawing>
          </mc:Choice>
          <mc:Fallback>
            <w:pict>
              <v:shape style="position:absolute;margin-left:143pt;margin-top:3.451172pt;width:309pt;height:.1pt;mso-position-horizontal-relative:page;mso-position-vertical-relative:paragraph;z-index:-15727104;mso-wrap-distance-left:0;mso-wrap-distance-right:0" id="docshape5" coordorigin="2860,69" coordsize="6180,0" path="m2860,69l9040,69e" filled="false" stroked="true" strokeweight="1.5pt" strokecolor="#777777">
                <v:path arrowok="t"/>
                <v:stroke dashstyle="solid"/>
                <w10:wrap type="topAndBottom"/>
              </v:shape>
            </w:pict>
          </mc:Fallback>
        </mc:AlternateContent>
      </w:r>
    </w:p>
    <w:p>
      <w:pPr>
        <w:pStyle w:val="Heading1"/>
        <w:spacing w:before="152"/>
      </w:pPr>
      <w:r>
        <w:rPr>
          <w:spacing w:val="-4"/>
        </w:rPr>
        <w:t>Atos</w:t>
      </w:r>
    </w:p>
    <w:p>
      <w:pPr>
        <w:pStyle w:val="BodyText"/>
        <w:spacing w:before="41"/>
        <w:ind w:left="0"/>
        <w:rPr>
          <w:rFonts w:ascii="Arial"/>
          <w:b/>
        </w:rPr>
      </w:pPr>
    </w:p>
    <w:p>
      <w:pPr>
        <w:pStyle w:val="BodyText"/>
        <w:spacing w:before="0"/>
        <w:jc w:val="both"/>
      </w:pPr>
      <w:r>
        <w:rPr/>
        <w:t>ATO PGJ Nº </w:t>
      </w:r>
      <w:r>
        <w:rPr>
          <w:spacing w:val="-2"/>
        </w:rPr>
        <w:t>27/2024</w:t>
      </w:r>
    </w:p>
    <w:p>
      <w:pPr>
        <w:pStyle w:val="BodyText"/>
        <w:spacing w:before="18"/>
        <w:ind w:left="0"/>
      </w:pPr>
    </w:p>
    <w:p>
      <w:pPr>
        <w:pStyle w:val="BodyText"/>
        <w:spacing w:line="249" w:lineRule="auto" w:before="1"/>
        <w:ind w:right="229"/>
        <w:jc w:val="both"/>
      </w:pPr>
      <w:r>
        <w:rPr/>
        <w:t>Dispõe sobre a criação de Protocolo Emergencial de incidente ou suspeita de incidente que implique violação de segurança de dados pessoais no âmbito do Ministério Público do Estado de Alagoas.</w:t>
      </w:r>
    </w:p>
    <w:p>
      <w:pPr>
        <w:pStyle w:val="BodyText"/>
        <w:spacing w:before="10"/>
        <w:ind w:left="0"/>
      </w:pPr>
    </w:p>
    <w:p>
      <w:pPr>
        <w:pStyle w:val="BodyText"/>
        <w:spacing w:line="249" w:lineRule="auto" w:before="0"/>
        <w:ind w:right="210"/>
        <w:jc w:val="both"/>
      </w:pPr>
      <w:r>
        <w:rPr/>
        <w:t>O PROCURADOR-GERAL DE JUSTIÇA, no uso das atribuições que lhe são conferidas pela Lei Complementar Estadual nº 15, de 22 de novembro de 1996, em especial por seu art. 9º, V;</w:t>
      </w:r>
    </w:p>
    <w:p>
      <w:pPr>
        <w:pStyle w:val="BodyText"/>
        <w:spacing w:before="10"/>
        <w:ind w:left="0"/>
      </w:pPr>
    </w:p>
    <w:p>
      <w:pPr>
        <w:pStyle w:val="BodyText"/>
        <w:spacing w:line="249" w:lineRule="auto" w:before="1"/>
        <w:ind w:right="210"/>
        <w:jc w:val="both"/>
      </w:pPr>
      <w:r>
        <w:rPr/>
        <w:t>CONSIDERANDO a necessidade de aperfeiçoar o Ato PGJ nº 21/2024-PGJ, de 16 de agosto de 2024, que instituiu a Política de Proteção e Governança de Dados Pessoais, no âmbito do Ministério Público de Alagoas, no que concerne à criação de um</w:t>
      </w:r>
      <w:r>
        <w:rPr>
          <w:spacing w:val="80"/>
        </w:rPr>
        <w:t> </w:t>
      </w:r>
      <w:r>
        <w:rPr/>
        <w:t>plano</w:t>
      </w:r>
      <w:r>
        <w:rPr>
          <w:spacing w:val="-1"/>
        </w:rPr>
        <w:t> </w:t>
      </w:r>
      <w:r>
        <w:rPr/>
        <w:t>emergencial</w:t>
      </w:r>
      <w:r>
        <w:rPr>
          <w:spacing w:val="-1"/>
        </w:rPr>
        <w:t> </w:t>
      </w:r>
      <w:r>
        <w:rPr/>
        <w:t>para</w:t>
      </w:r>
      <w:r>
        <w:rPr>
          <w:spacing w:val="-1"/>
        </w:rPr>
        <w:t> </w:t>
      </w:r>
      <w:r>
        <w:rPr/>
        <w:t>a</w:t>
      </w:r>
      <w:r>
        <w:rPr>
          <w:spacing w:val="-1"/>
        </w:rPr>
        <w:t> </w:t>
      </w:r>
      <w:r>
        <w:rPr/>
        <w:t>hipótese</w:t>
      </w:r>
      <w:r>
        <w:rPr>
          <w:spacing w:val="-1"/>
        </w:rPr>
        <w:t> </w:t>
      </w:r>
      <w:r>
        <w:rPr/>
        <w:t>de</w:t>
      </w:r>
      <w:r>
        <w:rPr>
          <w:spacing w:val="-1"/>
        </w:rPr>
        <w:t> </w:t>
      </w:r>
      <w:r>
        <w:rPr/>
        <w:t>incidente</w:t>
      </w:r>
      <w:r>
        <w:rPr>
          <w:spacing w:val="-1"/>
        </w:rPr>
        <w:t> </w:t>
      </w:r>
      <w:r>
        <w:rPr/>
        <w:t>ou</w:t>
      </w:r>
      <w:r>
        <w:rPr>
          <w:spacing w:val="-1"/>
        </w:rPr>
        <w:t> </w:t>
      </w:r>
      <w:r>
        <w:rPr/>
        <w:t>suspeita</w:t>
      </w:r>
      <w:r>
        <w:rPr>
          <w:spacing w:val="-1"/>
        </w:rPr>
        <w:t> </w:t>
      </w:r>
      <w:r>
        <w:rPr/>
        <w:t>de</w:t>
      </w:r>
      <w:r>
        <w:rPr>
          <w:spacing w:val="-1"/>
        </w:rPr>
        <w:t> </w:t>
      </w:r>
      <w:r>
        <w:rPr/>
        <w:t>incidente</w:t>
      </w:r>
      <w:r>
        <w:rPr>
          <w:spacing w:val="-1"/>
        </w:rPr>
        <w:t> </w:t>
      </w:r>
      <w:r>
        <w:rPr/>
        <w:t>que</w:t>
      </w:r>
      <w:r>
        <w:rPr>
          <w:spacing w:val="-1"/>
        </w:rPr>
        <w:t> </w:t>
      </w:r>
      <w:r>
        <w:rPr/>
        <w:t>implique</w:t>
      </w:r>
      <w:r>
        <w:rPr>
          <w:spacing w:val="-1"/>
        </w:rPr>
        <w:t> </w:t>
      </w:r>
      <w:r>
        <w:rPr/>
        <w:t>violação</w:t>
      </w:r>
      <w:r>
        <w:rPr>
          <w:spacing w:val="-1"/>
        </w:rPr>
        <w:t> </w:t>
      </w:r>
      <w:r>
        <w:rPr/>
        <w:t>de</w:t>
      </w:r>
      <w:r>
        <w:rPr>
          <w:spacing w:val="-1"/>
        </w:rPr>
        <w:t> </w:t>
      </w:r>
      <w:r>
        <w:rPr/>
        <w:t>segurança</w:t>
      </w:r>
      <w:r>
        <w:rPr>
          <w:spacing w:val="-1"/>
        </w:rPr>
        <w:t> </w:t>
      </w:r>
      <w:r>
        <w:rPr/>
        <w:t>de</w:t>
      </w:r>
      <w:r>
        <w:rPr>
          <w:spacing w:val="-1"/>
        </w:rPr>
        <w:t> </w:t>
      </w:r>
      <w:r>
        <w:rPr/>
        <w:t>dados</w:t>
      </w:r>
      <w:r>
        <w:rPr>
          <w:spacing w:val="-1"/>
        </w:rPr>
        <w:t> </w:t>
      </w:r>
      <w:r>
        <w:rPr/>
        <w:t>pessoais, edito o seguinte ato:</w:t>
      </w:r>
    </w:p>
    <w:p>
      <w:pPr>
        <w:pStyle w:val="BodyText"/>
        <w:spacing w:before="11"/>
        <w:ind w:left="0"/>
      </w:pPr>
    </w:p>
    <w:p>
      <w:pPr>
        <w:pStyle w:val="BodyText"/>
        <w:spacing w:line="249" w:lineRule="auto" w:before="0"/>
        <w:ind w:right="229"/>
        <w:jc w:val="both"/>
      </w:pPr>
      <w:r>
        <w:rPr/>
        <w:t>Art. 1º – Na hipótese em que, por qualquer motivo, seja constatado incidente ou suspeita de incidente que implique violação de segurança de dados por acessos não autorizados, situações acidentais ou ilícitas de destruição, perda, alteração, comunicação ou qualquer forma de tratamento inadequado ou ilícito, será deflagrado, imediatamente, plano de ações emergenciais, a fim de cessar ou minimizar eventuais danos causados.</w:t>
      </w:r>
    </w:p>
    <w:p>
      <w:pPr>
        <w:pStyle w:val="BodyText"/>
        <w:spacing w:line="249" w:lineRule="auto" w:before="3"/>
        <w:ind w:right="229"/>
        <w:jc w:val="both"/>
      </w:pPr>
      <w:r>
        <w:rPr/>
        <w:t>Parágrafo único – O plano de ação não se aplica ao eventual incidente ou suspeita de incidente relacionado ao tratamento de dados</w:t>
      </w:r>
      <w:r>
        <w:rPr>
          <w:spacing w:val="-3"/>
        </w:rPr>
        <w:t> </w:t>
      </w:r>
      <w:r>
        <w:rPr/>
        <w:t>realizado</w:t>
      </w:r>
      <w:r>
        <w:rPr>
          <w:spacing w:val="-3"/>
        </w:rPr>
        <w:t> </w:t>
      </w:r>
      <w:r>
        <w:rPr/>
        <w:t>para</w:t>
      </w:r>
      <w:r>
        <w:rPr>
          <w:spacing w:val="-3"/>
        </w:rPr>
        <w:t> </w:t>
      </w:r>
      <w:r>
        <w:rPr/>
        <w:t>fins</w:t>
      </w:r>
      <w:r>
        <w:rPr>
          <w:spacing w:val="-3"/>
        </w:rPr>
        <w:t> </w:t>
      </w:r>
      <w:r>
        <w:rPr/>
        <w:t>exclusivamente</w:t>
      </w:r>
      <w:r>
        <w:rPr>
          <w:spacing w:val="-3"/>
        </w:rPr>
        <w:t> </w:t>
      </w:r>
      <w:r>
        <w:rPr/>
        <w:t>jornalísticos,</w:t>
      </w:r>
      <w:r>
        <w:rPr>
          <w:spacing w:val="-3"/>
        </w:rPr>
        <w:t> </w:t>
      </w:r>
      <w:r>
        <w:rPr/>
        <w:t>artísticos,</w:t>
      </w:r>
      <w:r>
        <w:rPr>
          <w:spacing w:val="-3"/>
        </w:rPr>
        <w:t> </w:t>
      </w:r>
      <w:r>
        <w:rPr/>
        <w:t>acadêmicos,</w:t>
      </w:r>
      <w:r>
        <w:rPr>
          <w:spacing w:val="-3"/>
        </w:rPr>
        <w:t> </w:t>
      </w:r>
      <w:r>
        <w:rPr/>
        <w:t>de</w:t>
      </w:r>
      <w:r>
        <w:rPr>
          <w:spacing w:val="-3"/>
        </w:rPr>
        <w:t> </w:t>
      </w:r>
      <w:r>
        <w:rPr/>
        <w:t>segurança</w:t>
      </w:r>
      <w:r>
        <w:rPr>
          <w:spacing w:val="-3"/>
        </w:rPr>
        <w:t> </w:t>
      </w:r>
      <w:r>
        <w:rPr/>
        <w:t>pública,</w:t>
      </w:r>
      <w:r>
        <w:rPr>
          <w:spacing w:val="-3"/>
        </w:rPr>
        <w:t> </w:t>
      </w:r>
      <w:r>
        <w:rPr/>
        <w:t>defesa</w:t>
      </w:r>
      <w:r>
        <w:rPr>
          <w:spacing w:val="-3"/>
        </w:rPr>
        <w:t> </w:t>
      </w:r>
      <w:r>
        <w:rPr/>
        <w:t>nacional,</w:t>
      </w:r>
      <w:r>
        <w:rPr>
          <w:spacing w:val="-3"/>
        </w:rPr>
        <w:t> </w:t>
      </w:r>
      <w:r>
        <w:rPr/>
        <w:t>segurança do Estado ou atividades de inteligência, de segurança orgânica, de investigação e de repressão de infrações penais, nos termos do art. 4º da Lei Geral de Proteção de Dados Pessoais (LGPD).</w:t>
      </w:r>
    </w:p>
    <w:p>
      <w:pPr>
        <w:pStyle w:val="BodyText"/>
        <w:spacing w:before="12"/>
        <w:ind w:left="0"/>
      </w:pPr>
    </w:p>
    <w:p>
      <w:pPr>
        <w:pStyle w:val="BodyText"/>
        <w:spacing w:line="249" w:lineRule="auto" w:before="0"/>
      </w:pPr>
      <w:r>
        <w:rPr/>
        <w:t>Art.</w:t>
      </w:r>
      <w:r>
        <w:rPr>
          <w:spacing w:val="40"/>
        </w:rPr>
        <w:t> </w:t>
      </w:r>
      <w:r>
        <w:rPr/>
        <w:t>2º</w:t>
      </w:r>
      <w:r>
        <w:rPr>
          <w:spacing w:val="40"/>
        </w:rPr>
        <w:t> </w:t>
      </w:r>
      <w:r>
        <w:rPr/>
        <w:t>–</w:t>
      </w:r>
      <w:r>
        <w:rPr>
          <w:spacing w:val="40"/>
        </w:rPr>
        <w:t> </w:t>
      </w:r>
      <w:r>
        <w:rPr/>
        <w:t>Verificada</w:t>
      </w:r>
      <w:r>
        <w:rPr>
          <w:spacing w:val="40"/>
        </w:rPr>
        <w:t> </w:t>
      </w:r>
      <w:r>
        <w:rPr/>
        <w:t>a</w:t>
      </w:r>
      <w:r>
        <w:rPr>
          <w:spacing w:val="40"/>
        </w:rPr>
        <w:t> </w:t>
      </w:r>
      <w:r>
        <w:rPr/>
        <w:t>situação</w:t>
      </w:r>
      <w:r>
        <w:rPr>
          <w:spacing w:val="40"/>
        </w:rPr>
        <w:t> </w:t>
      </w:r>
      <w:r>
        <w:rPr/>
        <w:t>de</w:t>
      </w:r>
      <w:r>
        <w:rPr>
          <w:spacing w:val="40"/>
        </w:rPr>
        <w:t> </w:t>
      </w:r>
      <w:r>
        <w:rPr/>
        <w:t>incidente</w:t>
      </w:r>
      <w:r>
        <w:rPr>
          <w:spacing w:val="40"/>
        </w:rPr>
        <w:t> </w:t>
      </w:r>
      <w:r>
        <w:rPr/>
        <w:t>ou</w:t>
      </w:r>
      <w:r>
        <w:rPr>
          <w:spacing w:val="40"/>
        </w:rPr>
        <w:t> </w:t>
      </w:r>
      <w:r>
        <w:rPr/>
        <w:t>suspeita</w:t>
      </w:r>
      <w:r>
        <w:rPr>
          <w:spacing w:val="40"/>
        </w:rPr>
        <w:t> </w:t>
      </w:r>
      <w:r>
        <w:rPr/>
        <w:t>de</w:t>
      </w:r>
      <w:r>
        <w:rPr>
          <w:spacing w:val="40"/>
        </w:rPr>
        <w:t> </w:t>
      </w:r>
      <w:r>
        <w:rPr/>
        <w:t>violação</w:t>
      </w:r>
      <w:r>
        <w:rPr>
          <w:spacing w:val="40"/>
        </w:rPr>
        <w:t> </w:t>
      </w:r>
      <w:r>
        <w:rPr/>
        <w:t>de</w:t>
      </w:r>
      <w:r>
        <w:rPr>
          <w:spacing w:val="40"/>
        </w:rPr>
        <w:t> </w:t>
      </w:r>
      <w:r>
        <w:rPr/>
        <w:t>segurança</w:t>
      </w:r>
      <w:r>
        <w:rPr>
          <w:spacing w:val="40"/>
        </w:rPr>
        <w:t> </w:t>
      </w:r>
      <w:r>
        <w:rPr/>
        <w:t>de</w:t>
      </w:r>
      <w:r>
        <w:rPr>
          <w:spacing w:val="40"/>
        </w:rPr>
        <w:t> </w:t>
      </w:r>
      <w:r>
        <w:rPr/>
        <w:t>dados,</w:t>
      </w:r>
      <w:r>
        <w:rPr>
          <w:spacing w:val="40"/>
        </w:rPr>
        <w:t> </w:t>
      </w:r>
      <w:r>
        <w:rPr/>
        <w:t>aquele</w:t>
      </w:r>
      <w:r>
        <w:rPr>
          <w:spacing w:val="40"/>
        </w:rPr>
        <w:t> </w:t>
      </w:r>
      <w:r>
        <w:rPr/>
        <w:t>que</w:t>
      </w:r>
      <w:r>
        <w:rPr>
          <w:spacing w:val="40"/>
        </w:rPr>
        <w:t> </w:t>
      </w:r>
      <w:r>
        <w:rPr/>
        <w:t>primeiro</w:t>
      </w:r>
      <w:r>
        <w:rPr>
          <w:spacing w:val="40"/>
        </w:rPr>
        <w:t> </w:t>
      </w:r>
      <w:r>
        <w:rPr/>
        <w:t>tomar conhecimento da área ou órgão responsável deverá comunicar às seguintes pessoas:</w:t>
      </w:r>
    </w:p>
    <w:p>
      <w:pPr>
        <w:pStyle w:val="ListParagraph"/>
        <w:numPr>
          <w:ilvl w:val="0"/>
          <w:numId w:val="1"/>
        </w:numPr>
        <w:tabs>
          <w:tab w:pos="334" w:val="left" w:leader="none"/>
        </w:tabs>
        <w:spacing w:line="240" w:lineRule="auto" w:before="2" w:after="0"/>
        <w:ind w:left="334" w:right="0" w:hanging="100"/>
        <w:jc w:val="left"/>
        <w:rPr>
          <w:sz w:val="18"/>
        </w:rPr>
      </w:pPr>
      <w:r>
        <w:rPr>
          <w:sz w:val="18"/>
        </w:rPr>
        <w:t>– Encarregado de </w:t>
      </w:r>
      <w:r>
        <w:rPr>
          <w:spacing w:val="-2"/>
          <w:sz w:val="18"/>
        </w:rPr>
        <w:t>Dados;</w:t>
      </w:r>
    </w:p>
    <w:p>
      <w:pPr>
        <w:pStyle w:val="ListParagraph"/>
        <w:numPr>
          <w:ilvl w:val="0"/>
          <w:numId w:val="1"/>
        </w:numPr>
        <w:tabs>
          <w:tab w:pos="384" w:val="left" w:leader="none"/>
        </w:tabs>
        <w:spacing w:line="240" w:lineRule="auto" w:before="9" w:after="0"/>
        <w:ind w:left="384" w:right="0" w:hanging="150"/>
        <w:jc w:val="left"/>
        <w:rPr>
          <w:sz w:val="18"/>
        </w:rPr>
      </w:pPr>
      <w:r>
        <w:rPr>
          <w:sz w:val="18"/>
        </w:rPr>
        <w:t>– Procurador-Geral de </w:t>
      </w:r>
      <w:r>
        <w:rPr>
          <w:spacing w:val="-2"/>
          <w:sz w:val="18"/>
        </w:rPr>
        <w:t>Justiça</w:t>
      </w:r>
    </w:p>
    <w:p>
      <w:pPr>
        <w:pStyle w:val="ListParagraph"/>
        <w:numPr>
          <w:ilvl w:val="0"/>
          <w:numId w:val="1"/>
        </w:numPr>
        <w:tabs>
          <w:tab w:pos="434" w:val="left" w:leader="none"/>
        </w:tabs>
        <w:spacing w:line="240" w:lineRule="auto" w:before="9" w:after="0"/>
        <w:ind w:left="434" w:right="0" w:hanging="200"/>
        <w:jc w:val="left"/>
        <w:rPr>
          <w:sz w:val="18"/>
        </w:rPr>
      </w:pPr>
      <w:r>
        <w:rPr>
          <w:sz w:val="18"/>
        </w:rPr>
        <w:t>– Diretor-</w:t>
      </w:r>
      <w:r>
        <w:rPr>
          <w:spacing w:val="-2"/>
          <w:sz w:val="18"/>
        </w:rPr>
        <w:t>Geral;</w:t>
      </w:r>
    </w:p>
    <w:p>
      <w:pPr>
        <w:pStyle w:val="ListParagraph"/>
        <w:numPr>
          <w:ilvl w:val="0"/>
          <w:numId w:val="1"/>
        </w:numPr>
        <w:tabs>
          <w:tab w:pos="454" w:val="left" w:leader="none"/>
        </w:tabs>
        <w:spacing w:line="240" w:lineRule="auto" w:before="9" w:after="0"/>
        <w:ind w:left="454" w:right="0" w:hanging="220"/>
        <w:jc w:val="left"/>
        <w:rPr>
          <w:sz w:val="18"/>
        </w:rPr>
      </w:pPr>
      <w:r>
        <w:rPr>
          <w:sz w:val="18"/>
        </w:rPr>
        <w:t>– Diretor de Tecnologia da </w:t>
      </w:r>
      <w:r>
        <w:rPr>
          <w:spacing w:val="-2"/>
          <w:sz w:val="18"/>
        </w:rPr>
        <w:t>Informação;</w:t>
      </w:r>
    </w:p>
    <w:p>
      <w:pPr>
        <w:pStyle w:val="BodyText"/>
        <w:spacing w:line="249" w:lineRule="auto"/>
        <w:ind w:right="202"/>
      </w:pPr>
      <w:r>
        <w:rPr/>
        <w:t>§ 1º – Caberá ao Encarregado de Dados deliberar sobre a necessidade de comunicação à Autoridade Nacional e aos titulares dos</w:t>
      </w:r>
      <w:r>
        <w:rPr>
          <w:spacing w:val="15"/>
        </w:rPr>
        <w:t> </w:t>
      </w:r>
      <w:r>
        <w:rPr/>
        <w:t>dados</w:t>
      </w:r>
      <w:r>
        <w:rPr>
          <w:spacing w:val="15"/>
        </w:rPr>
        <w:t> </w:t>
      </w:r>
      <w:r>
        <w:rPr/>
        <w:t>pessoais</w:t>
      </w:r>
      <w:r>
        <w:rPr>
          <w:spacing w:val="15"/>
        </w:rPr>
        <w:t> </w:t>
      </w:r>
      <w:r>
        <w:rPr/>
        <w:t>a</w:t>
      </w:r>
      <w:r>
        <w:rPr>
          <w:spacing w:val="15"/>
        </w:rPr>
        <w:t> </w:t>
      </w:r>
      <w:r>
        <w:rPr/>
        <w:t>ocorrência</w:t>
      </w:r>
      <w:r>
        <w:rPr>
          <w:spacing w:val="15"/>
        </w:rPr>
        <w:t> </w:t>
      </w:r>
      <w:r>
        <w:rPr/>
        <w:t>de</w:t>
      </w:r>
      <w:r>
        <w:rPr>
          <w:spacing w:val="15"/>
        </w:rPr>
        <w:t> </w:t>
      </w:r>
      <w:r>
        <w:rPr/>
        <w:t>incidente</w:t>
      </w:r>
      <w:r>
        <w:rPr>
          <w:spacing w:val="15"/>
        </w:rPr>
        <w:t> </w:t>
      </w:r>
      <w:r>
        <w:rPr/>
        <w:t>de</w:t>
      </w:r>
      <w:r>
        <w:rPr>
          <w:spacing w:val="15"/>
        </w:rPr>
        <w:t> </w:t>
      </w:r>
      <w:r>
        <w:rPr/>
        <w:t>segurança</w:t>
      </w:r>
      <w:r>
        <w:rPr>
          <w:spacing w:val="15"/>
        </w:rPr>
        <w:t> </w:t>
      </w:r>
      <w:r>
        <w:rPr/>
        <w:t>que,</w:t>
      </w:r>
      <w:r>
        <w:rPr>
          <w:spacing w:val="15"/>
        </w:rPr>
        <w:t> </w:t>
      </w:r>
      <w:r>
        <w:rPr/>
        <w:t>de</w:t>
      </w:r>
      <w:r>
        <w:rPr>
          <w:spacing w:val="15"/>
        </w:rPr>
        <w:t> </w:t>
      </w:r>
      <w:r>
        <w:rPr/>
        <w:t>acordo</w:t>
      </w:r>
      <w:r>
        <w:rPr>
          <w:spacing w:val="15"/>
        </w:rPr>
        <w:t> </w:t>
      </w:r>
      <w:r>
        <w:rPr/>
        <w:t>com</w:t>
      </w:r>
      <w:r>
        <w:rPr>
          <w:spacing w:val="15"/>
        </w:rPr>
        <w:t> </w:t>
      </w:r>
      <w:r>
        <w:rPr/>
        <w:t>sua</w:t>
      </w:r>
      <w:r>
        <w:rPr>
          <w:spacing w:val="15"/>
        </w:rPr>
        <w:t> </w:t>
      </w:r>
      <w:r>
        <w:rPr/>
        <w:t>relevância</w:t>
      </w:r>
      <w:r>
        <w:rPr>
          <w:spacing w:val="15"/>
        </w:rPr>
        <w:t> </w:t>
      </w:r>
      <w:r>
        <w:rPr/>
        <w:t>e</w:t>
      </w:r>
      <w:r>
        <w:rPr>
          <w:spacing w:val="15"/>
        </w:rPr>
        <w:t> </w:t>
      </w:r>
      <w:r>
        <w:rPr/>
        <w:t>gravidade,</w:t>
      </w:r>
      <w:r>
        <w:rPr>
          <w:spacing w:val="15"/>
        </w:rPr>
        <w:t> </w:t>
      </w:r>
      <w:r>
        <w:rPr/>
        <w:t>possa</w:t>
      </w:r>
      <w:r>
        <w:rPr>
          <w:spacing w:val="15"/>
        </w:rPr>
        <w:t> </w:t>
      </w:r>
      <w:r>
        <w:rPr/>
        <w:t>acarretar</w:t>
      </w:r>
    </w:p>
    <w:p>
      <w:pPr>
        <w:pStyle w:val="BodyText"/>
        <w:spacing w:after="0" w:line="249" w:lineRule="auto"/>
        <w:sectPr>
          <w:footerReference w:type="default" r:id="rId5"/>
          <w:type w:val="continuous"/>
          <w:pgSz w:w="11900" w:h="16840"/>
          <w:pgMar w:header="0" w:footer="725" w:top="20" w:bottom="920" w:left="566" w:right="566"/>
          <w:pgNumType w:start="1"/>
        </w:sectPr>
      </w:pPr>
    </w:p>
    <w:p>
      <w:pPr>
        <w:pStyle w:val="BodyText"/>
        <w:spacing w:before="0"/>
        <w:ind w:left="152"/>
        <w:rPr>
          <w:sz w:val="20"/>
        </w:rPr>
      </w:pPr>
      <w:r>
        <w:rPr>
          <w:sz w:val="20"/>
        </w:rPr>
        <w:drawing>
          <wp:inline distT="0" distB="0" distL="0" distR="0">
            <wp:extent cx="6689307" cy="786288"/>
            <wp:effectExtent l="0" t="0" r="0" b="0"/>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6689307" cy="786288"/>
                    </a:xfrm>
                    <a:prstGeom prst="rect">
                      <a:avLst/>
                    </a:prstGeom>
                  </pic:spPr>
                </pic:pic>
              </a:graphicData>
            </a:graphic>
          </wp:inline>
        </w:drawing>
      </w:r>
      <w:r>
        <w:rPr>
          <w:sz w:val="20"/>
        </w:rPr>
      </w:r>
    </w:p>
    <w:p>
      <w:pPr>
        <w:pStyle w:val="BodyText"/>
        <w:tabs>
          <w:tab w:pos="9438" w:val="left" w:leader="none"/>
        </w:tabs>
        <w:spacing w:before="132"/>
        <w:ind w:left="113"/>
      </w:pPr>
      <w:r>
        <w:rPr/>
        <w:t>Data de disponibilização: 26 de setembro de </w:t>
      </w:r>
      <w:r>
        <w:rPr>
          <w:spacing w:val="-4"/>
        </w:rPr>
        <w:t>2024</w:t>
      </w:r>
      <w:r>
        <w:rPr/>
        <w:tab/>
        <w:t>Edição nº </w:t>
      </w:r>
      <w:r>
        <w:rPr>
          <w:spacing w:val="-4"/>
        </w:rPr>
        <w:t>1217</w:t>
      </w:r>
    </w:p>
    <w:p>
      <w:pPr>
        <w:pStyle w:val="BodyText"/>
        <w:spacing w:before="0"/>
        <w:ind w:left="0"/>
        <w:rPr>
          <w:sz w:val="12"/>
        </w:rPr>
      </w:pPr>
      <w:r>
        <w:rPr>
          <w:sz w:val="12"/>
        </w:rPr>
        <mc:AlternateContent>
          <mc:Choice Requires="wps">
            <w:drawing>
              <wp:anchor distT="0" distB="0" distL="0" distR="0" allowOverlap="1" layoutInCell="1" locked="0" behindDoc="1" simplePos="0" relativeHeight="487589888">
                <wp:simplePos x="0" y="0"/>
                <wp:positionH relativeFrom="page">
                  <wp:posOffset>431800</wp:posOffset>
                </wp:positionH>
                <wp:positionV relativeFrom="paragraph">
                  <wp:posOffset>103262</wp:posOffset>
                </wp:positionV>
                <wp:extent cx="66929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shape style="position:absolute;margin-left:34pt;margin-top:8.130878pt;width:527pt;height:.1pt;mso-position-horizontal-relative:page;mso-position-vertical-relative:paragraph;z-index:-15726592;mso-wrap-distance-left:0;mso-wrap-distance-right:0" id="docshape6" coordorigin="680,163" coordsize="10540,0" path="m680,163l11220,163e" filled="false" stroked="true" strokeweight=".5pt" strokecolor="#00336a">
                <v:path arrowok="t"/>
                <v:stroke dashstyle="solid"/>
                <w10:wrap type="topAndBottom"/>
              </v:shape>
            </w:pict>
          </mc:Fallback>
        </mc:AlternateContent>
      </w:r>
    </w:p>
    <w:p>
      <w:pPr>
        <w:pStyle w:val="BodyText"/>
        <w:spacing w:before="94"/>
        <w:ind w:left="0"/>
      </w:pPr>
    </w:p>
    <w:p>
      <w:pPr>
        <w:pStyle w:val="BodyText"/>
        <w:spacing w:before="0"/>
        <w:jc w:val="both"/>
      </w:pPr>
      <w:r>
        <w:rPr/>
        <w:t>risco ou dano relevante aos titulares, nos termos do art. 48 da Lei Geral de Proteção de Dados Pessoais </w:t>
      </w:r>
      <w:r>
        <w:rPr>
          <w:spacing w:val="-2"/>
        </w:rPr>
        <w:t>(LGPD).</w:t>
      </w:r>
    </w:p>
    <w:p>
      <w:pPr>
        <w:pStyle w:val="BodyText"/>
        <w:spacing w:line="249" w:lineRule="auto"/>
        <w:ind w:right="227"/>
        <w:jc w:val="both"/>
      </w:pPr>
      <w:r>
        <w:rPr/>
        <w:t>§ 2º – O Procurador-Geral de Justiça, ao tomar conhecimento do incidente de segurança relativo ao tratamento de dados pessoais com possibilidade de causar dano relevante aos titulares, comunicará à Unidade Especial de Proteção de Dados Pessoais (UEPDAP) do Conselho Nacional do Ministério Público (CNMP), sempre que possível no prazo de até 72 (setenta e duas) horas, nos termos do art. 148 da Resolução nº 281 do CNMP.</w:t>
      </w:r>
    </w:p>
    <w:p>
      <w:pPr>
        <w:pStyle w:val="BodyText"/>
        <w:spacing w:line="249" w:lineRule="auto" w:before="3"/>
        <w:ind w:right="208"/>
        <w:jc w:val="both"/>
      </w:pPr>
      <w:r>
        <w:rPr/>
        <w:t>§ 3º – As pessoas indicadas nos incisos I ao IV poderão encaminhar os elementos relativos à ocorrência ao Comitê Especial de Proteção de Dados do Ministério Público do Estado de Alagoas (CEPDAP), objetivando aprimoramento dos fluxos de dados, governança de privacidade, proteção de dados e segurança da informação, nos termos do art. 11 c/c art. 31 do Ato PGJ nº 21/2024-PGJ, de 16 de agosto de 2024.</w:t>
      </w:r>
    </w:p>
    <w:p>
      <w:pPr>
        <w:pStyle w:val="BodyText"/>
        <w:spacing w:line="249" w:lineRule="auto" w:before="3"/>
        <w:ind w:right="206"/>
        <w:jc w:val="both"/>
      </w:pPr>
      <w:r>
        <w:rPr/>
        <w:t>§ 4º – Constatada a necessidade da apuração da conduta responsável pelo incidente, o Encarregado de Dados deverá formular representação à autoridade correcional ou disciplinar que detenha atribuição para a apuração da possível falta funcional, encaminhando todas as informações possíveis e necessárias que permitam a instauração do devido processo legal, garantidos</w:t>
      </w:r>
      <w:r>
        <w:rPr>
          <w:spacing w:val="80"/>
        </w:rPr>
        <w:t> </w:t>
      </w:r>
      <w:r>
        <w:rPr/>
        <w:t>o contraditório e a ampla defesa.</w:t>
      </w:r>
    </w:p>
    <w:p>
      <w:pPr>
        <w:pStyle w:val="BodyText"/>
        <w:spacing w:before="12"/>
        <w:ind w:left="0"/>
      </w:pPr>
    </w:p>
    <w:p>
      <w:pPr>
        <w:pStyle w:val="BodyText"/>
        <w:spacing w:line="249" w:lineRule="auto" w:before="0"/>
        <w:ind w:right="229"/>
        <w:jc w:val="both"/>
      </w:pPr>
      <w:r>
        <w:rPr/>
        <w:t>Art. 3º – O Diretor de Tecnologia da Informação (DTI) deverá, imediatamente, acionar as seções de tecnologia da informação</w:t>
      </w:r>
      <w:r>
        <w:rPr>
          <w:spacing w:val="40"/>
        </w:rPr>
        <w:t> </w:t>
      </w:r>
      <w:r>
        <w:rPr/>
        <w:t>(TI) responsáveis e providenciar medidas técnicas para a contenção do incidente, seu controle e mitigação dos possíveis danos.</w:t>
      </w:r>
    </w:p>
    <w:p>
      <w:pPr>
        <w:pStyle w:val="BodyText"/>
        <w:spacing w:before="10"/>
        <w:ind w:left="0"/>
      </w:pPr>
    </w:p>
    <w:p>
      <w:pPr>
        <w:pStyle w:val="BodyText"/>
        <w:spacing w:line="249" w:lineRule="auto" w:before="1"/>
        <w:ind w:right="230"/>
        <w:jc w:val="both"/>
      </w:pPr>
      <w:r>
        <w:rPr/>
        <w:t>Art.</w:t>
      </w:r>
      <w:r>
        <w:rPr>
          <w:spacing w:val="-1"/>
        </w:rPr>
        <w:t> </w:t>
      </w:r>
      <w:r>
        <w:rPr/>
        <w:t>4º</w:t>
      </w:r>
      <w:r>
        <w:rPr>
          <w:spacing w:val="-1"/>
        </w:rPr>
        <w:t> </w:t>
      </w:r>
      <w:r>
        <w:rPr/>
        <w:t>–</w:t>
      </w:r>
      <w:r>
        <w:rPr>
          <w:spacing w:val="-1"/>
        </w:rPr>
        <w:t> </w:t>
      </w:r>
      <w:r>
        <w:rPr/>
        <w:t>As</w:t>
      </w:r>
      <w:r>
        <w:rPr>
          <w:spacing w:val="-1"/>
        </w:rPr>
        <w:t> </w:t>
      </w:r>
      <w:r>
        <w:rPr/>
        <w:t>seções</w:t>
      </w:r>
      <w:r>
        <w:rPr>
          <w:spacing w:val="-1"/>
        </w:rPr>
        <w:t> </w:t>
      </w:r>
      <w:r>
        <w:rPr/>
        <w:t>de</w:t>
      </w:r>
      <w:r>
        <w:rPr>
          <w:spacing w:val="-1"/>
        </w:rPr>
        <w:t> </w:t>
      </w:r>
      <w:r>
        <w:rPr/>
        <w:t>tecnologia</w:t>
      </w:r>
      <w:r>
        <w:rPr>
          <w:spacing w:val="-1"/>
        </w:rPr>
        <w:t> </w:t>
      </w:r>
      <w:r>
        <w:rPr/>
        <w:t>da</w:t>
      </w:r>
      <w:r>
        <w:rPr>
          <w:spacing w:val="-1"/>
        </w:rPr>
        <w:t> </w:t>
      </w:r>
      <w:r>
        <w:rPr/>
        <w:t>informação</w:t>
      </w:r>
      <w:r>
        <w:rPr>
          <w:spacing w:val="-1"/>
        </w:rPr>
        <w:t> </w:t>
      </w:r>
      <w:r>
        <w:rPr/>
        <w:t>deverão,</w:t>
      </w:r>
      <w:r>
        <w:rPr>
          <w:spacing w:val="-1"/>
        </w:rPr>
        <w:t> </w:t>
      </w:r>
      <w:r>
        <w:rPr/>
        <w:t>imediatamente,</w:t>
      </w:r>
      <w:r>
        <w:rPr>
          <w:spacing w:val="-1"/>
        </w:rPr>
        <w:t> </w:t>
      </w:r>
      <w:r>
        <w:rPr/>
        <w:t>sem</w:t>
      </w:r>
      <w:r>
        <w:rPr>
          <w:spacing w:val="-1"/>
        </w:rPr>
        <w:t> </w:t>
      </w:r>
      <w:r>
        <w:rPr/>
        <w:t>prejuízo</w:t>
      </w:r>
      <w:r>
        <w:rPr>
          <w:spacing w:val="-1"/>
        </w:rPr>
        <w:t> </w:t>
      </w:r>
      <w:r>
        <w:rPr/>
        <w:t>da</w:t>
      </w:r>
      <w:r>
        <w:rPr>
          <w:spacing w:val="-1"/>
        </w:rPr>
        <w:t> </w:t>
      </w:r>
      <w:r>
        <w:rPr/>
        <w:t>tomada</w:t>
      </w:r>
      <w:r>
        <w:rPr>
          <w:spacing w:val="-1"/>
        </w:rPr>
        <w:t> </w:t>
      </w:r>
      <w:r>
        <w:rPr/>
        <w:t>de</w:t>
      </w:r>
      <w:r>
        <w:rPr>
          <w:spacing w:val="-1"/>
        </w:rPr>
        <w:t> </w:t>
      </w:r>
      <w:r>
        <w:rPr/>
        <w:t>medidas</w:t>
      </w:r>
      <w:r>
        <w:rPr>
          <w:spacing w:val="-1"/>
        </w:rPr>
        <w:t> </w:t>
      </w:r>
      <w:r>
        <w:rPr/>
        <w:t>para</w:t>
      </w:r>
      <w:r>
        <w:rPr>
          <w:spacing w:val="-1"/>
        </w:rPr>
        <w:t> </w:t>
      </w:r>
      <w:r>
        <w:rPr/>
        <w:t>a</w:t>
      </w:r>
      <w:r>
        <w:rPr>
          <w:spacing w:val="-1"/>
        </w:rPr>
        <w:t> </w:t>
      </w:r>
      <w:r>
        <w:rPr/>
        <w:t>contenção do incidente, identificar e apontar em relatório circunstanciado quais os tipos de dados foram objeto de incidente ou tentativa de incidente de violação de segurança, sua origem e a natureza da ação causadora da ocorrência.</w:t>
      </w:r>
    </w:p>
    <w:p>
      <w:pPr>
        <w:pStyle w:val="BodyText"/>
        <w:spacing w:line="249" w:lineRule="auto" w:before="2"/>
        <w:ind w:right="228"/>
        <w:jc w:val="both"/>
      </w:pPr>
      <w:r>
        <w:rPr/>
        <w:t>Parágrafo único – Para os fins do disposto neste artigo, poderão ser requisitadas informações aos fornecedores de serviços relacionados à tecnologia da informação e comunicação, nos termos do art. 16 do Ato PGJ nº 21/2024-PGJ, de 16 de agosto de </w:t>
      </w:r>
      <w:r>
        <w:rPr>
          <w:spacing w:val="-2"/>
        </w:rPr>
        <w:t>2024.</w:t>
      </w:r>
    </w:p>
    <w:p>
      <w:pPr>
        <w:pStyle w:val="BodyText"/>
        <w:spacing w:before="11"/>
        <w:ind w:left="0"/>
      </w:pPr>
    </w:p>
    <w:p>
      <w:pPr>
        <w:pStyle w:val="BodyText"/>
        <w:spacing w:line="249" w:lineRule="auto" w:before="0"/>
        <w:ind w:right="202"/>
      </w:pPr>
      <w:r>
        <w:rPr/>
        <w:t>Art. 5º – Após a coleta imediata das informações fornecidas pelas seções de tecnologia da informação, o Diretor de Tecnologia da Informação (DTI) tomará as medidas necessárias à mitigação de riscos, dentre elas, conforme o caso:</w:t>
      </w:r>
    </w:p>
    <w:p>
      <w:pPr>
        <w:pStyle w:val="ListParagraph"/>
        <w:numPr>
          <w:ilvl w:val="0"/>
          <w:numId w:val="2"/>
        </w:numPr>
        <w:tabs>
          <w:tab w:pos="334" w:val="left" w:leader="none"/>
        </w:tabs>
        <w:spacing w:line="240" w:lineRule="auto" w:before="2" w:after="0"/>
        <w:ind w:left="334" w:right="0" w:hanging="100"/>
        <w:jc w:val="left"/>
        <w:rPr>
          <w:sz w:val="18"/>
        </w:rPr>
      </w:pPr>
      <w:r>
        <w:rPr>
          <w:sz w:val="18"/>
        </w:rPr>
        <w:t>– comunicação interna imediata com </w:t>
      </w:r>
      <w:r>
        <w:rPr>
          <w:spacing w:val="-2"/>
          <w:sz w:val="18"/>
        </w:rPr>
        <w:t>instruções;</w:t>
      </w:r>
    </w:p>
    <w:p>
      <w:pPr>
        <w:pStyle w:val="ListParagraph"/>
        <w:numPr>
          <w:ilvl w:val="0"/>
          <w:numId w:val="2"/>
        </w:numPr>
        <w:tabs>
          <w:tab w:pos="384" w:val="left" w:leader="none"/>
        </w:tabs>
        <w:spacing w:line="240" w:lineRule="auto" w:before="9" w:after="0"/>
        <w:ind w:left="384" w:right="0" w:hanging="150"/>
        <w:jc w:val="left"/>
        <w:rPr>
          <w:sz w:val="18"/>
        </w:rPr>
      </w:pPr>
      <w:r>
        <w:rPr>
          <w:sz w:val="18"/>
        </w:rPr>
        <w:t>– retirada do serviço ativo de </w:t>
      </w:r>
      <w:r>
        <w:rPr>
          <w:spacing w:val="-2"/>
          <w:sz w:val="18"/>
        </w:rPr>
        <w:t>operação;</w:t>
      </w:r>
    </w:p>
    <w:p>
      <w:pPr>
        <w:pStyle w:val="ListParagraph"/>
        <w:numPr>
          <w:ilvl w:val="0"/>
          <w:numId w:val="2"/>
        </w:numPr>
        <w:tabs>
          <w:tab w:pos="434" w:val="left" w:leader="none"/>
        </w:tabs>
        <w:spacing w:line="240" w:lineRule="auto" w:before="9" w:after="0"/>
        <w:ind w:left="434" w:right="0" w:hanging="200"/>
        <w:jc w:val="left"/>
        <w:rPr>
          <w:sz w:val="18"/>
        </w:rPr>
      </w:pPr>
      <w:r>
        <w:rPr>
          <w:sz w:val="18"/>
        </w:rPr>
        <w:t>– isolamento de rede e de </w:t>
      </w:r>
      <w:r>
        <w:rPr>
          <w:spacing w:val="-2"/>
          <w:sz w:val="18"/>
        </w:rPr>
        <w:t>ativo;</w:t>
      </w:r>
    </w:p>
    <w:p>
      <w:pPr>
        <w:pStyle w:val="ListParagraph"/>
        <w:numPr>
          <w:ilvl w:val="0"/>
          <w:numId w:val="2"/>
        </w:numPr>
        <w:tabs>
          <w:tab w:pos="454" w:val="left" w:leader="none"/>
        </w:tabs>
        <w:spacing w:line="240" w:lineRule="auto" w:before="9" w:after="0"/>
        <w:ind w:left="454" w:right="0" w:hanging="220"/>
        <w:jc w:val="left"/>
        <w:rPr>
          <w:sz w:val="18"/>
        </w:rPr>
      </w:pPr>
      <w:r>
        <w:rPr>
          <w:sz w:val="18"/>
        </w:rPr>
        <w:t>– varredura com antivírus e outras ferramentas de </w:t>
      </w:r>
      <w:r>
        <w:rPr>
          <w:spacing w:val="-2"/>
          <w:sz w:val="18"/>
        </w:rPr>
        <w:t>segurança;</w:t>
      </w:r>
    </w:p>
    <w:p>
      <w:pPr>
        <w:pStyle w:val="ListParagraph"/>
        <w:numPr>
          <w:ilvl w:val="0"/>
          <w:numId w:val="2"/>
        </w:numPr>
        <w:tabs>
          <w:tab w:pos="404" w:val="left" w:leader="none"/>
        </w:tabs>
        <w:spacing w:line="240" w:lineRule="auto" w:before="9" w:after="0"/>
        <w:ind w:left="404" w:right="0" w:hanging="170"/>
        <w:jc w:val="left"/>
        <w:rPr>
          <w:sz w:val="18"/>
        </w:rPr>
      </w:pPr>
      <w:r>
        <w:rPr>
          <w:sz w:val="18"/>
        </w:rPr>
        <w:t>– abertura de chamado junto ao fabricante para atualização de segurança do </w:t>
      </w:r>
      <w:r>
        <w:rPr>
          <w:spacing w:val="-2"/>
          <w:sz w:val="18"/>
        </w:rPr>
        <w:t>produto;</w:t>
      </w:r>
    </w:p>
    <w:p>
      <w:pPr>
        <w:pStyle w:val="ListParagraph"/>
        <w:numPr>
          <w:ilvl w:val="0"/>
          <w:numId w:val="2"/>
        </w:numPr>
        <w:tabs>
          <w:tab w:pos="454" w:val="left" w:leader="none"/>
        </w:tabs>
        <w:spacing w:line="240" w:lineRule="auto" w:before="9" w:after="0"/>
        <w:ind w:left="454" w:right="0" w:hanging="220"/>
        <w:jc w:val="left"/>
        <w:rPr>
          <w:sz w:val="18"/>
        </w:rPr>
      </w:pPr>
      <w:r>
        <w:rPr>
          <w:sz w:val="18"/>
        </w:rPr>
        <w:t>– troca de </w:t>
      </w:r>
      <w:r>
        <w:rPr>
          <w:spacing w:val="-2"/>
          <w:sz w:val="18"/>
        </w:rPr>
        <w:t>senhas;</w:t>
      </w:r>
    </w:p>
    <w:p>
      <w:pPr>
        <w:pStyle w:val="ListParagraph"/>
        <w:numPr>
          <w:ilvl w:val="0"/>
          <w:numId w:val="2"/>
        </w:numPr>
        <w:tabs>
          <w:tab w:pos="504" w:val="left" w:leader="none"/>
        </w:tabs>
        <w:spacing w:line="240" w:lineRule="auto" w:before="9" w:after="0"/>
        <w:ind w:left="504" w:right="0" w:hanging="270"/>
        <w:jc w:val="left"/>
        <w:rPr>
          <w:sz w:val="18"/>
        </w:rPr>
      </w:pPr>
      <w:r>
        <w:rPr>
          <w:sz w:val="18"/>
        </w:rPr>
        <w:t>– execução de cópias dos registros objeto do incidente, quando </w:t>
      </w:r>
      <w:r>
        <w:rPr>
          <w:spacing w:val="-2"/>
          <w:sz w:val="18"/>
        </w:rPr>
        <w:t>possível;</w:t>
      </w:r>
    </w:p>
    <w:p>
      <w:pPr>
        <w:pStyle w:val="BodyText"/>
      </w:pPr>
      <w:r>
        <w:rPr/>
        <w:t>VII – coleta e análise dos logs de acessos e dos arquivos para análise como </w:t>
      </w:r>
      <w:r>
        <w:rPr>
          <w:spacing w:val="-2"/>
        </w:rPr>
        <w:t>evidências;</w:t>
      </w:r>
    </w:p>
    <w:p>
      <w:pPr>
        <w:pStyle w:val="BodyText"/>
      </w:pPr>
      <w:r>
        <w:rPr/>
        <w:t>IX – registros dos incidentes e das respostas aos </w:t>
      </w:r>
      <w:r>
        <w:rPr>
          <w:spacing w:val="-2"/>
        </w:rPr>
        <w:t>incidentes;</w:t>
      </w:r>
    </w:p>
    <w:p>
      <w:pPr>
        <w:pStyle w:val="BodyText"/>
      </w:pPr>
      <w:r>
        <w:rPr/>
        <w:t>X – revisão de políticas, de atos normativos, bem como da documentação do </w:t>
      </w:r>
      <w:r>
        <w:rPr>
          <w:spacing w:val="-2"/>
        </w:rPr>
        <w:t>processo;</w:t>
      </w:r>
    </w:p>
    <w:p>
      <w:pPr>
        <w:pStyle w:val="BodyText"/>
      </w:pPr>
      <w:r>
        <w:rPr/>
        <w:t>XI – documentação de mudanças (solicitação/motivo, implementação aplicada, testes, resultados, validações e </w:t>
      </w:r>
      <w:r>
        <w:rPr>
          <w:spacing w:val="-2"/>
        </w:rPr>
        <w:t>aprovações);</w:t>
      </w:r>
    </w:p>
    <w:p>
      <w:pPr>
        <w:pStyle w:val="BodyText"/>
        <w:spacing w:line="249" w:lineRule="auto"/>
      </w:pPr>
      <w:r>
        <w:rPr/>
        <w:t>XII – reavaliação da governança sobre eventos/ocorrências e sobre ativos (das ações de identificação de riscos, configurações, testes, mudanças, aprovações, documentação).</w:t>
      </w:r>
    </w:p>
    <w:p>
      <w:pPr>
        <w:pStyle w:val="BodyText"/>
        <w:spacing w:before="10"/>
        <w:ind w:left="0"/>
      </w:pPr>
    </w:p>
    <w:p>
      <w:pPr>
        <w:pStyle w:val="BodyText"/>
        <w:spacing w:line="249" w:lineRule="auto" w:before="0"/>
      </w:pPr>
      <w:r>
        <w:rPr/>
        <w:t>Art. 6º – O plano de ação contemplado no protocolo emergencial de incidente ou suspeita de incidente que implique violação de segurança de dados pessoais será comunicado ao Comitê Estratégico de Tecnologia da Informação.</w:t>
      </w:r>
    </w:p>
    <w:p>
      <w:pPr>
        <w:pStyle w:val="BodyText"/>
        <w:spacing w:before="11"/>
        <w:ind w:left="0"/>
      </w:pPr>
    </w:p>
    <w:p>
      <w:pPr>
        <w:pStyle w:val="BodyText"/>
        <w:spacing w:line="501" w:lineRule="auto" w:before="0"/>
        <w:ind w:right="1894"/>
      </w:pPr>
      <w:r>
        <w:rPr/>
        <w:t>Art.</w:t>
      </w:r>
      <w:r>
        <w:rPr>
          <w:spacing w:val="-3"/>
        </w:rPr>
        <w:t> </w:t>
      </w:r>
      <w:r>
        <w:rPr/>
        <w:t>7º</w:t>
      </w:r>
      <w:r>
        <w:rPr>
          <w:spacing w:val="-3"/>
        </w:rPr>
        <w:t> </w:t>
      </w:r>
      <w:r>
        <w:rPr/>
        <w:t>–</w:t>
      </w:r>
      <w:r>
        <w:rPr>
          <w:spacing w:val="-3"/>
        </w:rPr>
        <w:t> </w:t>
      </w:r>
      <w:r>
        <w:rPr/>
        <w:t>Este</w:t>
      </w:r>
      <w:r>
        <w:rPr>
          <w:spacing w:val="-3"/>
        </w:rPr>
        <w:t> </w:t>
      </w:r>
      <w:r>
        <w:rPr/>
        <w:t>ato</w:t>
      </w:r>
      <w:r>
        <w:rPr>
          <w:spacing w:val="-3"/>
        </w:rPr>
        <w:t> </w:t>
      </w:r>
      <w:r>
        <w:rPr/>
        <w:t>entra</w:t>
      </w:r>
      <w:r>
        <w:rPr>
          <w:spacing w:val="-3"/>
        </w:rPr>
        <w:t> </w:t>
      </w:r>
      <w:r>
        <w:rPr/>
        <w:t>em</w:t>
      </w:r>
      <w:r>
        <w:rPr>
          <w:spacing w:val="-3"/>
        </w:rPr>
        <w:t> </w:t>
      </w:r>
      <w:r>
        <w:rPr/>
        <w:t>vigor</w:t>
      </w:r>
      <w:r>
        <w:rPr>
          <w:spacing w:val="-3"/>
        </w:rPr>
        <w:t> </w:t>
      </w:r>
      <w:r>
        <w:rPr/>
        <w:t>na</w:t>
      </w:r>
      <w:r>
        <w:rPr>
          <w:spacing w:val="-3"/>
        </w:rPr>
        <w:t> </w:t>
      </w:r>
      <w:r>
        <w:rPr/>
        <w:t>data</w:t>
      </w:r>
      <w:r>
        <w:rPr>
          <w:spacing w:val="-3"/>
        </w:rPr>
        <w:t> </w:t>
      </w:r>
      <w:r>
        <w:rPr/>
        <w:t>de</w:t>
      </w:r>
      <w:r>
        <w:rPr>
          <w:spacing w:val="-3"/>
        </w:rPr>
        <w:t> </w:t>
      </w:r>
      <w:r>
        <w:rPr/>
        <w:t>sua</w:t>
      </w:r>
      <w:r>
        <w:rPr>
          <w:spacing w:val="-3"/>
        </w:rPr>
        <w:t> </w:t>
      </w:r>
      <w:r>
        <w:rPr/>
        <w:t>publicação,</w:t>
      </w:r>
      <w:r>
        <w:rPr>
          <w:spacing w:val="-3"/>
        </w:rPr>
        <w:t> </w:t>
      </w:r>
      <w:r>
        <w:rPr/>
        <w:t>revogadas</w:t>
      </w:r>
      <w:r>
        <w:rPr>
          <w:spacing w:val="-3"/>
        </w:rPr>
        <w:t> </w:t>
      </w:r>
      <w:r>
        <w:rPr/>
        <w:t>as</w:t>
      </w:r>
      <w:r>
        <w:rPr>
          <w:spacing w:val="-3"/>
        </w:rPr>
        <w:t> </w:t>
      </w:r>
      <w:r>
        <w:rPr/>
        <w:t>disposições</w:t>
      </w:r>
      <w:r>
        <w:rPr>
          <w:spacing w:val="-3"/>
        </w:rPr>
        <w:t> </w:t>
      </w:r>
      <w:r>
        <w:rPr/>
        <w:t>em</w:t>
      </w:r>
      <w:r>
        <w:rPr>
          <w:spacing w:val="-3"/>
        </w:rPr>
        <w:t> </w:t>
      </w:r>
      <w:r>
        <w:rPr/>
        <w:t>contrário. Gabinete do Procurador-Geral de Justiça, em Maceió, 25 de setembro de 2024.</w:t>
      </w:r>
    </w:p>
    <w:p>
      <w:pPr>
        <w:pStyle w:val="BodyText"/>
        <w:spacing w:before="7"/>
        <w:ind w:left="0"/>
      </w:pPr>
    </w:p>
    <w:p>
      <w:pPr>
        <w:pStyle w:val="BodyText"/>
        <w:spacing w:before="1"/>
      </w:pPr>
      <w:r>
        <w:rPr/>
        <w:t>LEAN ANTÔNIO FERREIRA DE </w:t>
      </w:r>
      <w:r>
        <w:rPr>
          <w:spacing w:val="-2"/>
        </w:rPr>
        <w:t>ARAÚJO</w:t>
      </w:r>
    </w:p>
    <w:p>
      <w:pPr>
        <w:pStyle w:val="BodyText"/>
      </w:pPr>
      <w:r>
        <w:rPr/>
        <w:t>Procurador-Geral de </w:t>
      </w:r>
      <w:r>
        <w:rPr>
          <w:spacing w:val="-2"/>
        </w:rPr>
        <w:t>Justiça</w:t>
      </w:r>
    </w:p>
    <w:p>
      <w:pPr>
        <w:pStyle w:val="BodyText"/>
        <w:spacing w:before="17"/>
        <w:ind w:left="0"/>
      </w:pPr>
    </w:p>
    <w:p>
      <w:pPr>
        <w:pStyle w:val="Heading1"/>
      </w:pPr>
      <w:r>
        <w:rPr/>
        <w:t>Despachos do Procurador-Geral de </w:t>
      </w:r>
      <w:r>
        <w:rPr>
          <w:spacing w:val="-2"/>
        </w:rPr>
        <w:t>Justiça</w:t>
      </w:r>
    </w:p>
    <w:p>
      <w:pPr>
        <w:pStyle w:val="BodyText"/>
        <w:spacing w:before="41"/>
        <w:ind w:left="0"/>
        <w:rPr>
          <w:rFonts w:ascii="Arial"/>
          <w:b/>
        </w:rPr>
      </w:pPr>
    </w:p>
    <w:p>
      <w:pPr>
        <w:pStyle w:val="BodyText"/>
        <w:spacing w:line="249" w:lineRule="auto" w:before="0"/>
      </w:pPr>
      <w:r>
        <w:rPr/>
        <w:t>O</w:t>
      </w:r>
      <w:r>
        <w:rPr>
          <w:spacing w:val="40"/>
        </w:rPr>
        <w:t> </w:t>
      </w:r>
      <w:r>
        <w:rPr/>
        <w:t>PROCURADOR-GERAL</w:t>
      </w:r>
      <w:r>
        <w:rPr>
          <w:spacing w:val="40"/>
        </w:rPr>
        <w:t> </w:t>
      </w:r>
      <w:r>
        <w:rPr/>
        <w:t>DE</w:t>
      </w:r>
      <w:r>
        <w:rPr>
          <w:spacing w:val="40"/>
        </w:rPr>
        <w:t> </w:t>
      </w:r>
      <w:r>
        <w:rPr/>
        <w:t>JUSTIÇA</w:t>
      </w:r>
      <w:r>
        <w:rPr>
          <w:spacing w:val="40"/>
        </w:rPr>
        <w:t> </w:t>
      </w:r>
      <w:r>
        <w:rPr/>
        <w:t>DO</w:t>
      </w:r>
      <w:r>
        <w:rPr>
          <w:spacing w:val="40"/>
        </w:rPr>
        <w:t> </w:t>
      </w:r>
      <w:r>
        <w:rPr/>
        <w:t>MINISTÉRIO</w:t>
      </w:r>
      <w:r>
        <w:rPr>
          <w:spacing w:val="40"/>
        </w:rPr>
        <w:t> </w:t>
      </w:r>
      <w:r>
        <w:rPr/>
        <w:t>PÚBLICO</w:t>
      </w:r>
      <w:r>
        <w:rPr>
          <w:spacing w:val="40"/>
        </w:rPr>
        <w:t> </w:t>
      </w:r>
      <w:r>
        <w:rPr/>
        <w:t>DO</w:t>
      </w:r>
      <w:r>
        <w:rPr>
          <w:spacing w:val="40"/>
        </w:rPr>
        <w:t> </w:t>
      </w:r>
      <w:r>
        <w:rPr/>
        <w:t>ESTADO</w:t>
      </w:r>
      <w:r>
        <w:rPr>
          <w:spacing w:val="40"/>
        </w:rPr>
        <w:t> </w:t>
      </w:r>
      <w:r>
        <w:rPr/>
        <w:t>DE</w:t>
      </w:r>
      <w:r>
        <w:rPr>
          <w:spacing w:val="40"/>
        </w:rPr>
        <w:t> </w:t>
      </w:r>
      <w:r>
        <w:rPr/>
        <w:t>ALAGOAS,</w:t>
      </w:r>
      <w:r>
        <w:rPr>
          <w:spacing w:val="40"/>
        </w:rPr>
        <w:t> </w:t>
      </w:r>
      <w:r>
        <w:rPr/>
        <w:t>DR.</w:t>
      </w:r>
      <w:r>
        <w:rPr>
          <w:spacing w:val="40"/>
        </w:rPr>
        <w:t> </w:t>
      </w:r>
      <w:r>
        <w:rPr/>
        <w:t>LEAN</w:t>
      </w:r>
      <w:r>
        <w:rPr>
          <w:spacing w:val="40"/>
        </w:rPr>
        <w:t> </w:t>
      </w:r>
      <w:r>
        <w:rPr/>
        <w:t>ANTÔNIO FERREIRA DE ARAÚJO, DESPACHOU, NO DIA 25 DE SETEMBRO DE 2024, OS SEGUINTES PROCESSOS:</w:t>
      </w:r>
    </w:p>
    <w:p>
      <w:pPr>
        <w:pStyle w:val="BodyText"/>
        <w:spacing w:before="10"/>
        <w:ind w:left="0"/>
      </w:pPr>
    </w:p>
    <w:p>
      <w:pPr>
        <w:pStyle w:val="BodyText"/>
        <w:spacing w:before="1"/>
      </w:pPr>
      <w:r>
        <w:rPr/>
        <w:t>GED: 20.08.1296.0000225/2024-</w:t>
      </w:r>
      <w:r>
        <w:rPr>
          <w:spacing w:val="-5"/>
        </w:rPr>
        <w:t>71</w:t>
      </w:r>
    </w:p>
    <w:p>
      <w:pPr>
        <w:pStyle w:val="BodyText"/>
        <w:spacing w:line="249" w:lineRule="auto"/>
        <w:ind w:right="4592"/>
      </w:pPr>
      <w:r>
        <w:rPr/>
        <w:t>Interessado:</w:t>
      </w:r>
      <w:r>
        <w:rPr>
          <w:spacing w:val="-6"/>
        </w:rPr>
        <w:t> </w:t>
      </w:r>
      <w:r>
        <w:rPr/>
        <w:t>Coordenadoria</w:t>
      </w:r>
      <w:r>
        <w:rPr>
          <w:spacing w:val="-6"/>
        </w:rPr>
        <w:t> </w:t>
      </w:r>
      <w:r>
        <w:rPr/>
        <w:t>de</w:t>
      </w:r>
      <w:r>
        <w:rPr>
          <w:spacing w:val="-6"/>
        </w:rPr>
        <w:t> </w:t>
      </w:r>
      <w:r>
        <w:rPr/>
        <w:t>Contratos</w:t>
      </w:r>
      <w:r>
        <w:rPr>
          <w:spacing w:val="-6"/>
        </w:rPr>
        <w:t> </w:t>
      </w:r>
      <w:r>
        <w:rPr/>
        <w:t>e</w:t>
      </w:r>
      <w:r>
        <w:rPr>
          <w:spacing w:val="-6"/>
        </w:rPr>
        <w:t> </w:t>
      </w:r>
      <w:r>
        <w:rPr/>
        <w:t>Convênios</w:t>
      </w:r>
      <w:r>
        <w:rPr>
          <w:spacing w:val="-6"/>
        </w:rPr>
        <w:t> </w:t>
      </w:r>
      <w:r>
        <w:rPr/>
        <w:t>desta</w:t>
      </w:r>
      <w:r>
        <w:rPr>
          <w:spacing w:val="-6"/>
        </w:rPr>
        <w:t> </w:t>
      </w:r>
      <w:r>
        <w:rPr/>
        <w:t>PGJ. Assunto: Locação de imóvel.</w:t>
      </w:r>
    </w:p>
    <w:sectPr>
      <w:pgSz w:w="11900" w:h="16840"/>
      <w:pgMar w:header="0" w:footer="725" w:top="800" w:bottom="92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454720">
              <wp:simplePos x="0" y="0"/>
              <wp:positionH relativeFrom="page">
                <wp:posOffset>431800</wp:posOffset>
              </wp:positionH>
              <wp:positionV relativeFrom="page">
                <wp:posOffset>10058400</wp:posOffset>
              </wp:positionV>
              <wp:extent cx="66929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61760" from="34pt,792pt" to="561pt,792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455232">
              <wp:simplePos x="0" y="0"/>
              <wp:positionH relativeFrom="page">
                <wp:posOffset>1027683</wp:posOffset>
              </wp:positionH>
              <wp:positionV relativeFrom="page">
                <wp:posOffset>10080724</wp:posOffset>
              </wp:positionV>
              <wp:extent cx="5502275"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02275" cy="139065"/>
                      </a:xfrm>
                      <a:prstGeom prst="rect">
                        <a:avLst/>
                      </a:prstGeom>
                    </wps:spPr>
                    <wps:txbx>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0.919998pt;margin-top:793.757813pt;width:433.25pt;height:10.95pt;mso-position-horizontal-relative:page;mso-position-vertical-relative:page;z-index:-15861248" type="#_x0000_t202" id="docshape1" filled="false" stroked="false">
              <v:textbox inset="0,0,0,0">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55744">
              <wp:simplePos x="0" y="0"/>
              <wp:positionH relativeFrom="page">
                <wp:posOffset>6990588</wp:posOffset>
              </wp:positionH>
              <wp:positionV relativeFrom="page">
                <wp:posOffset>10235530</wp:posOffset>
              </wp:positionV>
              <wp:extent cx="160020" cy="1676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0020" cy="167640"/>
                      </a:xfrm>
                      <a:prstGeom prst="rect">
                        <a:avLst/>
                      </a:prstGeom>
                    </wps:spPr>
                    <wps:txbx>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1</w:t>
                          </w:r>
                          <w:r>
                            <w:rPr>
                              <w:rFonts w:ascii="Arial"/>
                              <w:b/>
                              <w:spacing w:val="-10"/>
                              <w:sz w:val="20"/>
                            </w:rPr>
                            <w:fldChar w:fldCharType="end"/>
                          </w:r>
                        </w:p>
                      </w:txbxContent>
                    </wps:txbx>
                    <wps:bodyPr wrap="square" lIns="0" tIns="0" rIns="0" bIns="0" rtlCol="0">
                      <a:noAutofit/>
                    </wps:bodyPr>
                  </wps:wsp>
                </a:graphicData>
              </a:graphic>
            </wp:anchor>
          </w:drawing>
        </mc:Choice>
        <mc:Fallback>
          <w:pict>
            <v:shape style="position:absolute;margin-left:550.440002pt;margin-top:805.947266pt;width:12.6pt;height:13.2pt;mso-position-horizontal-relative:page;mso-position-vertical-relative:page;z-index:-15860736" type="#_x0000_t202" id="docshape2" filled="false" stroked="false">
              <v:textbox inset="0,0,0,0">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1</w:t>
                    </w:r>
                    <w:r>
                      <w:rPr>
                        <w:rFonts w:ascii="Arial"/>
                        <w:b/>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abstractNum w:abstractNumId="0">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9"/>
      <w:ind w:left="234"/>
    </w:pPr>
    <w:rPr>
      <w:rFonts w:ascii="Arial MT" w:hAnsi="Arial MT" w:eastAsia="Arial MT" w:cs="Arial MT"/>
      <w:sz w:val="18"/>
      <w:szCs w:val="18"/>
      <w:lang w:val="pt-PT" w:eastAsia="en-US" w:bidi="ar-SA"/>
    </w:rPr>
  </w:style>
  <w:style w:styleId="Heading1" w:type="paragraph">
    <w:name w:val="Heading 1"/>
    <w:basedOn w:val="Normal"/>
    <w:uiPriority w:val="1"/>
    <w:qFormat/>
    <w:pPr>
      <w:spacing w:before="1"/>
      <w:jc w:val="center"/>
      <w:outlineLvl w:val="1"/>
    </w:pPr>
    <w:rPr>
      <w:rFonts w:ascii="Arial" w:hAnsi="Arial" w:eastAsia="Arial" w:cs="Arial"/>
      <w:b/>
      <w:bCs/>
      <w:sz w:val="18"/>
      <w:szCs w:val="18"/>
      <w:lang w:val="pt-PT" w:eastAsia="en-US" w:bidi="ar-SA"/>
    </w:rPr>
  </w:style>
  <w:style w:styleId="Title" w:type="paragraph">
    <w:name w:val="Title"/>
    <w:basedOn w:val="Normal"/>
    <w:uiPriority w:val="1"/>
    <w:qFormat/>
    <w:pPr>
      <w:spacing w:before="168"/>
      <w:jc w:val="center"/>
    </w:pPr>
    <w:rPr>
      <w:rFonts w:ascii="Arial" w:hAnsi="Arial" w:eastAsia="Arial" w:cs="Arial"/>
      <w:b/>
      <w:bCs/>
      <w:sz w:val="24"/>
      <w:szCs w:val="24"/>
      <w:lang w:val="pt-PT" w:eastAsia="en-US" w:bidi="ar-SA"/>
    </w:rPr>
  </w:style>
  <w:style w:styleId="ListParagraph" w:type="paragraph">
    <w:name w:val="List Paragraph"/>
    <w:basedOn w:val="Normal"/>
    <w:uiPriority w:val="1"/>
    <w:qFormat/>
    <w:pPr>
      <w:spacing w:before="9"/>
      <w:ind w:left="454" w:hanging="220"/>
    </w:pPr>
    <w:rPr>
      <w:rFonts w:ascii="Arial MT" w:hAnsi="Arial MT" w:eastAsia="Arial MT" w:cs="Arial MT"/>
      <w:lang w:val="pt-PT" w:eastAsia="en-US" w:bidi="ar-SA"/>
    </w:rPr>
  </w:style>
  <w:style w:styleId="TableParagraph" w:type="paragraph">
    <w:name w:val="Table Paragraph"/>
    <w:basedOn w:val="Normal"/>
    <w:uiPriority w:val="1"/>
    <w:qFormat/>
    <w:pPr>
      <w:jc w:val="center"/>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2025-07-18T15:58:34Z</dcterms:created>
  <dcterms:modified xsi:type="dcterms:W3CDTF">2025-07-18T15:58:34Z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2025-07-09T00:00:00Z</vt:filetime>
  </property>
</Properties>
</file>