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4"/>
        <w:ind w:left="0"/>
        <w:rPr>
          <w:rFonts w:ascii="Times New Roman"/>
        </w:rPr>
      </w:pPr>
    </w:p>
    <w:p>
      <w:pPr>
        <w:pStyle w:val="BodyText"/>
        <w:spacing w:line="249" w:lineRule="auto"/>
        <w:ind w:right="67"/>
        <w:jc w:val="both"/>
      </w:pPr>
      <w:r>
        <w:rPr/>
        <w:t>aos e-mails funcionais e demais funcionalidades informatizadas, como Sistema GED e Pje da Justiça Eleitoral, que não mais forem necessárias ao exercício de suas funções institucionais. Parágrafo único. O disposto no caput aplica-se aos servidores, estagiários, voluntários e demais colaboradores.</w:t>
      </w:r>
    </w:p>
    <w:p>
      <w:pPr>
        <w:pStyle w:val="BodyText"/>
        <w:spacing w:before="11"/>
        <w:ind w:left="0"/>
      </w:pPr>
    </w:p>
    <w:p>
      <w:pPr>
        <w:pStyle w:val="BodyText"/>
        <w:spacing w:line="249" w:lineRule="auto" w:before="1"/>
        <w:ind w:right="64"/>
        <w:jc w:val="both"/>
      </w:pPr>
      <w:r>
        <w:rPr/>
        <w:t>Art. 3º A partir da publicação deste Ato Conjunto, os membros do Ministério Público terão 10 (dez) dias para indicar as lotações do SAJMP que deverão permanecer ativas, para acesso dos servidores, estagiários, voluntários e demais colaboradores. Parágrafo único. Após o decurso do prazo previsto no caput, todos os acessos de servidores, estagiários, voluntários e demais colaboradores, que não forem objeto da solicitação prevista neste artigo, serão automaticamente retirados.</w:t>
      </w:r>
    </w:p>
    <w:p>
      <w:pPr>
        <w:pStyle w:val="BodyText"/>
        <w:spacing w:before="11"/>
        <w:ind w:left="0"/>
      </w:pPr>
    </w:p>
    <w:p>
      <w:pPr>
        <w:pStyle w:val="BodyText"/>
        <w:spacing w:line="249" w:lineRule="auto"/>
        <w:ind w:right="67"/>
        <w:jc w:val="both"/>
      </w:pPr>
      <w:r>
        <w:rPr/>
        <w:t>Art. 4º A Diretoria de Tecnologia da Informação deverá providenciar a retirada, de ofício e a qualquer tempo, dos acessos de membros, servidores, estagiários, voluntários e demais colaboradores que não mais estejam atuando institucionalmente em lotações do SAJMP, e-mail funcional, Sistema GED, Pje e demais ferramentas informatizadas. Parágrafo único. A Diretoria de Tecnologia da Informação poderá obter as informações necessárias para a realização do disposto no caput por qualquer meio, como publicações no Diário Eletrônico do Ministério Público, informações prestadas pela Chefia de Gabinete ou pela Assessoria Especial da Procuradoria-Geral de Justiça, encaminhando relatório circunstanciado, a cada três meses, à Procuradoria-Geral de Justiça e à Corregedoria Geral.</w:t>
      </w:r>
    </w:p>
    <w:p>
      <w:pPr>
        <w:pStyle w:val="BodyText"/>
        <w:spacing w:before="14"/>
        <w:ind w:left="0"/>
      </w:pPr>
    </w:p>
    <w:p>
      <w:pPr>
        <w:pStyle w:val="BodyText"/>
        <w:spacing w:line="249" w:lineRule="auto" w:before="1"/>
        <w:ind w:right="85"/>
        <w:jc w:val="both"/>
      </w:pPr>
      <w:r>
        <w:rPr/>
        <w:t>Art. 5º Ressalvadas situações excepcionais, devidamente fundamentadas, os substitutos automáticos somente deverão ter acesso aos dados informatizados durante o período de exercício funcional no órgão de execução a ser substituído.</w:t>
      </w:r>
    </w:p>
    <w:p>
      <w:pPr>
        <w:pStyle w:val="BodyText"/>
        <w:spacing w:before="10"/>
        <w:ind w:left="0"/>
      </w:pPr>
    </w:p>
    <w:p>
      <w:pPr>
        <w:pStyle w:val="BodyText"/>
        <w:spacing w:line="249" w:lineRule="auto"/>
        <w:ind w:right="85"/>
        <w:jc w:val="both"/>
      </w:pPr>
      <w:r>
        <w:rPr/>
        <w:t>Art. 6º Nas hipóteses de atuação conjunta em feito determinado, designação pelo Procurador-Geral de Justiça por força do disposto no art. 28 do Código de Processo Penal, nos casos de suspeição ou impedimento do órgão natural de execução ou em situações assemelhadas, deverá ser feito uso da fila “Membro Designado”, no SAJMP, de modo que o órgão de execução indicado não tenha acesso aos demais processos da lotação.</w:t>
      </w:r>
    </w:p>
    <w:p>
      <w:pPr>
        <w:pStyle w:val="BodyText"/>
        <w:spacing w:before="12"/>
        <w:ind w:left="0"/>
      </w:pPr>
    </w:p>
    <w:p>
      <w:pPr>
        <w:pStyle w:val="BodyText"/>
        <w:spacing w:line="501" w:lineRule="auto"/>
        <w:ind w:right="4861"/>
      </w:pPr>
      <w:r>
        <w:rPr/>
        <w:t>Art.</w:t>
      </w:r>
      <w:r>
        <w:rPr>
          <w:spacing w:val="-4"/>
        </w:rPr>
        <w:t> </w:t>
      </w:r>
      <w:r>
        <w:rPr/>
        <w:t>7º.</w:t>
      </w:r>
      <w:r>
        <w:rPr>
          <w:spacing w:val="-4"/>
        </w:rPr>
        <w:t> </w:t>
      </w:r>
      <w:r>
        <w:rPr/>
        <w:t>Este</w:t>
      </w:r>
      <w:r>
        <w:rPr>
          <w:spacing w:val="-4"/>
        </w:rPr>
        <w:t> </w:t>
      </w:r>
      <w:r>
        <w:rPr/>
        <w:t>ato</w:t>
      </w:r>
      <w:r>
        <w:rPr>
          <w:spacing w:val="-4"/>
        </w:rPr>
        <w:t> </w:t>
      </w:r>
      <w:r>
        <w:rPr/>
        <w:t>Normativo</w:t>
      </w:r>
      <w:r>
        <w:rPr>
          <w:spacing w:val="-4"/>
        </w:rPr>
        <w:t> </w:t>
      </w:r>
      <w:r>
        <w:rPr/>
        <w:t>entra</w:t>
      </w:r>
      <w:r>
        <w:rPr>
          <w:spacing w:val="-4"/>
        </w:rPr>
        <w:t> </w:t>
      </w:r>
      <w:r>
        <w:rPr/>
        <w:t>em</w:t>
      </w:r>
      <w:r>
        <w:rPr>
          <w:spacing w:val="-4"/>
        </w:rPr>
        <w:t> </w:t>
      </w:r>
      <w:r>
        <w:rPr/>
        <w:t>vigor</w:t>
      </w:r>
      <w:r>
        <w:rPr>
          <w:spacing w:val="-4"/>
        </w:rPr>
        <w:t> </w:t>
      </w:r>
      <w:r>
        <w:rPr/>
        <w:t>na</w:t>
      </w:r>
      <w:r>
        <w:rPr>
          <w:spacing w:val="-4"/>
        </w:rPr>
        <w:t> </w:t>
      </w:r>
      <w:r>
        <w:rPr/>
        <w:t>data</w:t>
      </w:r>
      <w:r>
        <w:rPr>
          <w:spacing w:val="-4"/>
        </w:rPr>
        <w:t> </w:t>
      </w:r>
      <w:r>
        <w:rPr/>
        <w:t>de</w:t>
      </w:r>
      <w:r>
        <w:rPr>
          <w:spacing w:val="-4"/>
        </w:rPr>
        <w:t> </w:t>
      </w:r>
      <w:r>
        <w:rPr/>
        <w:t>sua</w:t>
      </w:r>
      <w:r>
        <w:rPr>
          <w:spacing w:val="-4"/>
        </w:rPr>
        <w:t> </w:t>
      </w:r>
      <w:r>
        <w:rPr/>
        <w:t>publicação. Publique-se. Cumpra-se.</w:t>
      </w:r>
    </w:p>
    <w:p>
      <w:pPr>
        <w:pStyle w:val="BodyText"/>
        <w:spacing w:line="206" w:lineRule="exact"/>
      </w:pPr>
      <w:r>
        <w:rPr/>
        <w:t>Gabinete do Procurador-Geral de Justiça, em Maceió, 28 de julho de </w:t>
      </w:r>
      <w:r>
        <w:rPr>
          <w:spacing w:val="-2"/>
        </w:rPr>
        <w:t>2025.</w:t>
      </w:r>
    </w:p>
    <w:p>
      <w:pPr>
        <w:pStyle w:val="BodyText"/>
        <w:spacing w:before="18"/>
        <w:ind w:left="0"/>
      </w:pPr>
    </w:p>
    <w:p>
      <w:pPr>
        <w:pStyle w:val="Heading1"/>
      </w:pPr>
      <w:r>
        <w:rPr/>
        <w:t>LEAN ANTÔNIO FERREIRA DE </w:t>
      </w:r>
      <w:r>
        <w:rPr>
          <w:spacing w:val="-2"/>
        </w:rPr>
        <w:t>ARAÚJO</w:t>
      </w:r>
    </w:p>
    <w:p>
      <w:pPr>
        <w:pStyle w:val="BodyText"/>
        <w:spacing w:before="9"/>
      </w:pPr>
      <w:r>
        <w:rPr/>
        <w:t>Procurador-Geral de </w:t>
      </w:r>
      <w:r>
        <w:rPr>
          <w:spacing w:val="-2"/>
        </w:rPr>
        <w:t>Justiça</w:t>
      </w:r>
    </w:p>
    <w:p>
      <w:pPr>
        <w:pStyle w:val="BodyText"/>
        <w:spacing w:before="18"/>
        <w:ind w:left="0"/>
      </w:pPr>
    </w:p>
    <w:p>
      <w:pPr>
        <w:pStyle w:val="Heading1"/>
      </w:pPr>
      <w:r>
        <w:rPr/>
        <w:t>EDUARDO TAVARES </w:t>
      </w:r>
      <w:r>
        <w:rPr>
          <w:spacing w:val="-2"/>
        </w:rPr>
        <w:t>MENDES</w:t>
      </w:r>
    </w:p>
    <w:p>
      <w:pPr>
        <w:pStyle w:val="BodyText"/>
        <w:spacing w:before="9"/>
      </w:pPr>
      <w:r>
        <w:rPr/>
        <w:t>Corregedor-Geral do Ministério </w:t>
      </w:r>
      <w:r>
        <w:rPr>
          <w:spacing w:val="-2"/>
        </w:rPr>
        <w:t>Público</w:t>
      </w:r>
    </w:p>
    <w:p>
      <w:pPr>
        <w:pStyle w:val="BodyText"/>
        <w:ind w:left="0"/>
      </w:pPr>
    </w:p>
    <w:p>
      <w:pPr>
        <w:pStyle w:val="BodyText"/>
        <w:spacing w:before="27"/>
        <w:ind w:left="0"/>
      </w:pPr>
    </w:p>
    <w:p>
      <w:pPr>
        <w:pStyle w:val="BodyText"/>
      </w:pPr>
      <w:r>
        <w:rPr/>
        <w:t>ATO PGJ Nº </w:t>
      </w:r>
      <w:r>
        <w:rPr>
          <w:spacing w:val="-2"/>
        </w:rPr>
        <w:t>22/2025</w:t>
      </w:r>
    </w:p>
    <w:p>
      <w:pPr>
        <w:pStyle w:val="BodyText"/>
        <w:spacing w:before="18"/>
        <w:ind w:left="0"/>
      </w:pPr>
    </w:p>
    <w:p>
      <w:pPr>
        <w:pStyle w:val="BodyText"/>
        <w:spacing w:line="249" w:lineRule="auto"/>
        <w:ind w:right="86"/>
        <w:jc w:val="both"/>
      </w:pPr>
      <w:r>
        <w:rPr/>
        <w:t>Aplica o Acordo de Não Persecução Disciplinar – ANPD, instituído pela Resolução CPJ nº 17/2025, no âmbito do Quadro de Serviços Auxiliares de Apoio Técnico e Administrativo do Ministério Público do Estado de Alagoas.</w:t>
      </w:r>
    </w:p>
    <w:p>
      <w:pPr>
        <w:pStyle w:val="BodyText"/>
        <w:spacing w:before="11"/>
        <w:ind w:left="0"/>
      </w:pPr>
    </w:p>
    <w:p>
      <w:pPr>
        <w:pStyle w:val="BodyText"/>
        <w:spacing w:line="249" w:lineRule="auto"/>
        <w:ind w:right="85"/>
        <w:jc w:val="both"/>
      </w:pPr>
      <w:r>
        <w:rPr/>
        <w:t>O PROCURADOR-GERAL DE JUSTIÇA, no uso das atribuições que lhe são conferidas pelo art. 9º da Lei Complementar Estadual nº 15, de 22 de novembro de 1996, ao considerar:</w:t>
      </w:r>
    </w:p>
    <w:p>
      <w:pPr>
        <w:pStyle w:val="BodyText"/>
        <w:spacing w:before="10"/>
        <w:ind w:left="0"/>
      </w:pPr>
    </w:p>
    <w:p>
      <w:pPr>
        <w:pStyle w:val="ListParagraph"/>
        <w:numPr>
          <w:ilvl w:val="0"/>
          <w:numId w:val="1"/>
        </w:numPr>
        <w:tabs>
          <w:tab w:pos="193" w:val="left" w:leader="none"/>
        </w:tabs>
        <w:spacing w:line="249" w:lineRule="auto" w:before="0" w:after="0"/>
        <w:ind w:left="92" w:right="88" w:firstLine="0"/>
        <w:jc w:val="both"/>
        <w:rPr>
          <w:sz w:val="18"/>
        </w:rPr>
      </w:pPr>
      <w:r>
        <w:rPr>
          <w:sz w:val="18"/>
        </w:rPr>
        <w:t>– o disposto na Resolução CNMP Nº 118/2014, que dispõe sobre a Política Nacional de Incentivo à Autocomposição no âmbito do Ministério Público brasileiro;</w:t>
      </w:r>
    </w:p>
    <w:p>
      <w:pPr>
        <w:pStyle w:val="BodyText"/>
        <w:spacing w:before="11"/>
        <w:ind w:left="0"/>
      </w:pPr>
    </w:p>
    <w:p>
      <w:pPr>
        <w:pStyle w:val="ListParagraph"/>
        <w:numPr>
          <w:ilvl w:val="0"/>
          <w:numId w:val="1"/>
        </w:numPr>
        <w:tabs>
          <w:tab w:pos="249" w:val="left" w:leader="none"/>
        </w:tabs>
        <w:spacing w:line="249" w:lineRule="auto" w:before="0" w:after="0"/>
        <w:ind w:left="92" w:right="87" w:firstLine="0"/>
        <w:jc w:val="both"/>
        <w:rPr>
          <w:sz w:val="18"/>
        </w:rPr>
      </w:pPr>
      <w:r>
        <w:rPr>
          <w:sz w:val="18"/>
        </w:rPr>
        <w:t>– a instituição do acordo de não persecução disciplinar no âmbito da Corregedoria-Geral do Ministério Público do Estado de Alagoas, para promover a solução pacífica e consensual de conflitos, por meio de adoção de mecanismos de autocomposição;</w:t>
      </w:r>
    </w:p>
    <w:p>
      <w:pPr>
        <w:pStyle w:val="BodyText"/>
        <w:spacing w:before="10"/>
        <w:ind w:left="0"/>
      </w:pPr>
    </w:p>
    <w:p>
      <w:pPr>
        <w:pStyle w:val="ListParagraph"/>
        <w:numPr>
          <w:ilvl w:val="0"/>
          <w:numId w:val="1"/>
        </w:numPr>
        <w:tabs>
          <w:tab w:pos="321" w:val="left" w:leader="none"/>
        </w:tabs>
        <w:spacing w:line="249" w:lineRule="auto" w:before="0" w:after="0"/>
        <w:ind w:left="92" w:right="64" w:firstLine="0"/>
        <w:jc w:val="both"/>
        <w:rPr>
          <w:sz w:val="18"/>
        </w:rPr>
      </w:pPr>
      <w:r>
        <w:rPr>
          <w:sz w:val="18"/>
        </w:rPr>
        <w:t>– a necessidade de permanente aprimoramento dos Órgãos de Controle Disciplinar do Ministério Público de Alagoas, especialmente quanto à modernidade, à agilidade, à efetividade e à proteção aos direitos fundamentais dos investigados;</w:t>
      </w:r>
    </w:p>
    <w:p>
      <w:pPr>
        <w:pStyle w:val="BodyText"/>
        <w:spacing w:before="11"/>
        <w:ind w:left="0"/>
      </w:pPr>
    </w:p>
    <w:p>
      <w:pPr>
        <w:pStyle w:val="ListParagraph"/>
        <w:numPr>
          <w:ilvl w:val="0"/>
          <w:numId w:val="1"/>
        </w:numPr>
        <w:tabs>
          <w:tab w:pos="327" w:val="left" w:leader="none"/>
        </w:tabs>
        <w:spacing w:line="249" w:lineRule="auto" w:before="0" w:after="0"/>
        <w:ind w:left="92" w:right="65" w:firstLine="0"/>
        <w:jc w:val="both"/>
        <w:rPr>
          <w:sz w:val="18"/>
        </w:rPr>
      </w:pPr>
      <w:r>
        <w:rPr>
          <w:sz w:val="18"/>
        </w:rPr>
        <w:t>– a exigência de soluções alternativas que proporcionem celeridade na resolução dos casos disciplinares menos graves, priorização dos recursos financeiros e humanos do Ministério Público para processamento e julgamento das infrações disciplinares mais graves, que impactam decisivamente o prestígio institucional e a correta prestação do serviço aos cidadãos, além</w:t>
      </w:r>
      <w:r>
        <w:rPr>
          <w:spacing w:val="27"/>
          <w:sz w:val="18"/>
        </w:rPr>
        <w:t> </w:t>
      </w:r>
      <w:r>
        <w:rPr>
          <w:sz w:val="18"/>
        </w:rPr>
        <w:t>da</w:t>
      </w:r>
      <w:r>
        <w:rPr>
          <w:spacing w:val="30"/>
          <w:sz w:val="18"/>
        </w:rPr>
        <w:t> </w:t>
      </w:r>
      <w:r>
        <w:rPr>
          <w:sz w:val="18"/>
        </w:rPr>
        <w:t>necessidade</w:t>
      </w:r>
      <w:r>
        <w:rPr>
          <w:spacing w:val="30"/>
          <w:sz w:val="18"/>
        </w:rPr>
        <w:t> </w:t>
      </w:r>
      <w:r>
        <w:rPr>
          <w:sz w:val="18"/>
        </w:rPr>
        <w:t>de</w:t>
      </w:r>
      <w:r>
        <w:rPr>
          <w:spacing w:val="30"/>
          <w:sz w:val="18"/>
        </w:rPr>
        <w:t> </w:t>
      </w:r>
      <w:r>
        <w:rPr>
          <w:sz w:val="18"/>
        </w:rPr>
        <w:t>minoração</w:t>
      </w:r>
      <w:r>
        <w:rPr>
          <w:spacing w:val="30"/>
          <w:sz w:val="18"/>
        </w:rPr>
        <w:t> </w:t>
      </w:r>
      <w:r>
        <w:rPr>
          <w:sz w:val="18"/>
        </w:rPr>
        <w:t>dos</w:t>
      </w:r>
      <w:r>
        <w:rPr>
          <w:spacing w:val="30"/>
          <w:sz w:val="18"/>
        </w:rPr>
        <w:t> </w:t>
      </w:r>
      <w:r>
        <w:rPr>
          <w:sz w:val="18"/>
        </w:rPr>
        <w:t>efeitos</w:t>
      </w:r>
      <w:r>
        <w:rPr>
          <w:spacing w:val="30"/>
          <w:sz w:val="18"/>
        </w:rPr>
        <w:t> </w:t>
      </w:r>
      <w:r>
        <w:rPr>
          <w:sz w:val="18"/>
        </w:rPr>
        <w:t>deletérios</w:t>
      </w:r>
      <w:r>
        <w:rPr>
          <w:spacing w:val="30"/>
          <w:sz w:val="18"/>
        </w:rPr>
        <w:t> </w:t>
      </w:r>
      <w:r>
        <w:rPr>
          <w:sz w:val="18"/>
        </w:rPr>
        <w:t>de</w:t>
      </w:r>
      <w:r>
        <w:rPr>
          <w:spacing w:val="30"/>
          <w:sz w:val="18"/>
        </w:rPr>
        <w:t> </w:t>
      </w:r>
      <w:r>
        <w:rPr>
          <w:sz w:val="18"/>
        </w:rPr>
        <w:t>uma</w:t>
      </w:r>
      <w:r>
        <w:rPr>
          <w:spacing w:val="30"/>
          <w:sz w:val="18"/>
        </w:rPr>
        <w:t> </w:t>
      </w:r>
      <w:r>
        <w:rPr>
          <w:sz w:val="18"/>
        </w:rPr>
        <w:t>penalidade</w:t>
      </w:r>
      <w:r>
        <w:rPr>
          <w:spacing w:val="30"/>
          <w:sz w:val="18"/>
        </w:rPr>
        <w:t> </w:t>
      </w:r>
      <w:r>
        <w:rPr>
          <w:sz w:val="18"/>
        </w:rPr>
        <w:t>administrativa</w:t>
      </w:r>
      <w:r>
        <w:rPr>
          <w:spacing w:val="30"/>
          <w:sz w:val="18"/>
        </w:rPr>
        <w:t> </w:t>
      </w:r>
      <w:r>
        <w:rPr>
          <w:sz w:val="18"/>
        </w:rPr>
        <w:t>nos</w:t>
      </w:r>
      <w:r>
        <w:rPr>
          <w:spacing w:val="30"/>
          <w:sz w:val="18"/>
        </w:rPr>
        <w:t> </w:t>
      </w:r>
      <w:r>
        <w:rPr>
          <w:sz w:val="18"/>
        </w:rPr>
        <w:t>assentamentos</w:t>
      </w:r>
      <w:r>
        <w:rPr>
          <w:spacing w:val="30"/>
          <w:sz w:val="18"/>
        </w:rPr>
        <w:t> </w:t>
      </w:r>
      <w:r>
        <w:rPr>
          <w:spacing w:val="-2"/>
          <w:sz w:val="18"/>
        </w:rPr>
        <w:t>funcionais,</w:t>
      </w:r>
    </w:p>
    <w:p>
      <w:pPr>
        <w:pStyle w:val="ListParagraph"/>
        <w:spacing w:after="0" w:line="249" w:lineRule="auto"/>
        <w:jc w:val="both"/>
        <w:rPr>
          <w:sz w:val="18"/>
        </w:rPr>
        <w:sectPr>
          <w:headerReference w:type="default" r:id="rId5"/>
          <w:footerReference w:type="default" r:id="rId6"/>
          <w:type w:val="continuous"/>
          <w:pgSz w:w="11900" w:h="16840"/>
          <w:pgMar w:header="799" w:footer="725" w:top="2540" w:bottom="920" w:left="708" w:right="708"/>
          <w:pgNumType w:start="2"/>
        </w:sectPr>
      </w:pPr>
    </w:p>
    <w:p>
      <w:pPr>
        <w:pStyle w:val="BodyText"/>
        <w:spacing w:before="94"/>
        <w:ind w:left="0"/>
      </w:pPr>
    </w:p>
    <w:p>
      <w:pPr>
        <w:pStyle w:val="BodyText"/>
      </w:pPr>
      <w:r>
        <w:rPr/>
        <w:t>causando, muitas vezes, desestímulo em vez de realinhamento aos valores e à missão </w:t>
      </w:r>
      <w:r>
        <w:rPr>
          <w:spacing w:val="-2"/>
        </w:rPr>
        <w:t>institucionais;</w:t>
      </w:r>
    </w:p>
    <w:p>
      <w:pPr>
        <w:pStyle w:val="BodyText"/>
        <w:spacing w:before="18"/>
        <w:ind w:left="0"/>
      </w:pPr>
    </w:p>
    <w:p>
      <w:pPr>
        <w:pStyle w:val="ListParagraph"/>
        <w:numPr>
          <w:ilvl w:val="0"/>
          <w:numId w:val="1"/>
        </w:numPr>
        <w:tabs>
          <w:tab w:pos="267" w:val="left" w:leader="none"/>
        </w:tabs>
        <w:spacing w:line="249" w:lineRule="auto" w:before="0" w:after="0"/>
        <w:ind w:left="92" w:right="87" w:firstLine="0"/>
        <w:jc w:val="left"/>
        <w:rPr>
          <w:sz w:val="18"/>
        </w:rPr>
      </w:pPr>
      <w:r>
        <w:rPr>
          <w:sz w:val="18"/>
        </w:rPr>
        <w:t>– o deliberado pelo Egrégio Colégio de Procuradores de Justiça, em sua 13ª Reunião Ordinária, realizada em 24 de julho de </w:t>
      </w:r>
      <w:r>
        <w:rPr>
          <w:spacing w:val="-2"/>
          <w:sz w:val="18"/>
        </w:rPr>
        <w:t>2025.</w:t>
      </w:r>
    </w:p>
    <w:p>
      <w:pPr>
        <w:pStyle w:val="BodyText"/>
        <w:spacing w:before="11"/>
        <w:ind w:left="0"/>
      </w:pPr>
    </w:p>
    <w:p>
      <w:pPr>
        <w:pStyle w:val="Heading1"/>
      </w:pPr>
      <w:r>
        <w:rPr>
          <w:spacing w:val="-2"/>
        </w:rPr>
        <w:t>RESOLVE:</w:t>
      </w:r>
    </w:p>
    <w:p>
      <w:pPr>
        <w:pStyle w:val="BodyText"/>
        <w:spacing w:before="18"/>
        <w:ind w:left="0"/>
      </w:pPr>
    </w:p>
    <w:p>
      <w:pPr>
        <w:pStyle w:val="BodyText"/>
        <w:spacing w:line="249" w:lineRule="auto"/>
      </w:pPr>
      <w:r>
        <w:rPr/>
        <w:t>Art.</w:t>
      </w:r>
      <w:r>
        <w:rPr>
          <w:spacing w:val="15"/>
        </w:rPr>
        <w:t> </w:t>
      </w:r>
      <w:r>
        <w:rPr/>
        <w:t>1º</w:t>
      </w:r>
      <w:r>
        <w:rPr>
          <w:spacing w:val="15"/>
        </w:rPr>
        <w:t> </w:t>
      </w:r>
      <w:r>
        <w:rPr/>
        <w:t>Aplica-se</w:t>
      </w:r>
      <w:r>
        <w:rPr>
          <w:spacing w:val="15"/>
        </w:rPr>
        <w:t> </w:t>
      </w:r>
      <w:r>
        <w:rPr/>
        <w:t>o</w:t>
      </w:r>
      <w:r>
        <w:rPr>
          <w:spacing w:val="15"/>
        </w:rPr>
        <w:t> </w:t>
      </w:r>
      <w:r>
        <w:rPr/>
        <w:t>disposto</w:t>
      </w:r>
      <w:r>
        <w:rPr>
          <w:spacing w:val="15"/>
        </w:rPr>
        <w:t> </w:t>
      </w:r>
      <w:r>
        <w:rPr/>
        <w:t>na</w:t>
      </w:r>
      <w:r>
        <w:rPr>
          <w:spacing w:val="15"/>
        </w:rPr>
        <w:t> </w:t>
      </w:r>
      <w:r>
        <w:rPr/>
        <w:t>Resolução</w:t>
      </w:r>
      <w:r>
        <w:rPr>
          <w:spacing w:val="15"/>
        </w:rPr>
        <w:t> </w:t>
      </w:r>
      <w:r>
        <w:rPr/>
        <w:t>CPJ</w:t>
      </w:r>
      <w:r>
        <w:rPr>
          <w:spacing w:val="15"/>
        </w:rPr>
        <w:t> </w:t>
      </w:r>
      <w:r>
        <w:rPr/>
        <w:t>nº</w:t>
      </w:r>
      <w:r>
        <w:rPr>
          <w:spacing w:val="15"/>
        </w:rPr>
        <w:t> </w:t>
      </w:r>
      <w:r>
        <w:rPr/>
        <w:t>17/2025,</w:t>
      </w:r>
      <w:r>
        <w:rPr>
          <w:spacing w:val="15"/>
        </w:rPr>
        <w:t> </w:t>
      </w:r>
      <w:r>
        <w:rPr/>
        <w:t>no</w:t>
      </w:r>
      <w:r>
        <w:rPr>
          <w:spacing w:val="15"/>
        </w:rPr>
        <w:t> </w:t>
      </w:r>
      <w:r>
        <w:rPr/>
        <w:t>que</w:t>
      </w:r>
      <w:r>
        <w:rPr>
          <w:spacing w:val="15"/>
        </w:rPr>
        <w:t> </w:t>
      </w:r>
      <w:r>
        <w:rPr/>
        <w:t>couber,</w:t>
      </w:r>
      <w:r>
        <w:rPr>
          <w:spacing w:val="15"/>
        </w:rPr>
        <w:t> </w:t>
      </w:r>
      <w:r>
        <w:rPr/>
        <w:t>aos</w:t>
      </w:r>
      <w:r>
        <w:rPr>
          <w:spacing w:val="15"/>
        </w:rPr>
        <w:t> </w:t>
      </w:r>
      <w:r>
        <w:rPr/>
        <w:t>servidores</w:t>
      </w:r>
      <w:r>
        <w:rPr>
          <w:spacing w:val="15"/>
        </w:rPr>
        <w:t> </w:t>
      </w:r>
      <w:r>
        <w:rPr/>
        <w:t>integrantes</w:t>
      </w:r>
      <w:r>
        <w:rPr>
          <w:spacing w:val="15"/>
        </w:rPr>
        <w:t> </w:t>
      </w:r>
      <w:r>
        <w:rPr/>
        <w:t>do</w:t>
      </w:r>
      <w:r>
        <w:rPr>
          <w:spacing w:val="15"/>
        </w:rPr>
        <w:t> </w:t>
      </w:r>
      <w:r>
        <w:rPr/>
        <w:t>Quadro</w:t>
      </w:r>
      <w:r>
        <w:rPr>
          <w:spacing w:val="15"/>
        </w:rPr>
        <w:t> </w:t>
      </w:r>
      <w:r>
        <w:rPr/>
        <w:t>de</w:t>
      </w:r>
      <w:r>
        <w:rPr>
          <w:spacing w:val="15"/>
        </w:rPr>
        <w:t> </w:t>
      </w:r>
      <w:r>
        <w:rPr/>
        <w:t>Serviços Auxiliares de Apoio Técnico e Administrativo do Ministério Público do Estado de Alagoas.</w:t>
      </w:r>
    </w:p>
    <w:p>
      <w:pPr>
        <w:pStyle w:val="BodyText"/>
        <w:spacing w:before="10"/>
        <w:ind w:left="0"/>
      </w:pPr>
    </w:p>
    <w:p>
      <w:pPr>
        <w:pStyle w:val="BodyText"/>
      </w:pPr>
      <w:r>
        <w:rPr/>
        <w:t>Art. 2º Fica revogado o Ato PGJ nº </w:t>
      </w:r>
      <w:r>
        <w:rPr>
          <w:spacing w:val="-2"/>
        </w:rPr>
        <w:t>28/2024.</w:t>
      </w:r>
    </w:p>
    <w:p>
      <w:pPr>
        <w:pStyle w:val="BodyText"/>
        <w:spacing w:before="18"/>
        <w:ind w:left="0"/>
      </w:pPr>
    </w:p>
    <w:p>
      <w:pPr>
        <w:pStyle w:val="BodyText"/>
        <w:spacing w:line="501" w:lineRule="auto"/>
        <w:ind w:right="5761"/>
      </w:pPr>
      <w:r>
        <w:rPr/>
        <w:t>Art.</w:t>
      </w:r>
      <w:r>
        <w:rPr>
          <w:spacing w:val="-4"/>
        </w:rPr>
        <w:t> </w:t>
      </w:r>
      <w:r>
        <w:rPr/>
        <w:t>3º</w:t>
      </w:r>
      <w:r>
        <w:rPr>
          <w:spacing w:val="-4"/>
        </w:rPr>
        <w:t> </w:t>
      </w:r>
      <w:r>
        <w:rPr/>
        <w:t>Este</w:t>
      </w:r>
      <w:r>
        <w:rPr>
          <w:spacing w:val="-4"/>
        </w:rPr>
        <w:t> </w:t>
      </w:r>
      <w:r>
        <w:rPr/>
        <w:t>Ato</w:t>
      </w:r>
      <w:r>
        <w:rPr>
          <w:spacing w:val="-4"/>
        </w:rPr>
        <w:t> </w:t>
      </w:r>
      <w:r>
        <w:rPr/>
        <w:t>entra</w:t>
      </w:r>
      <w:r>
        <w:rPr>
          <w:spacing w:val="-4"/>
        </w:rPr>
        <w:t> </w:t>
      </w:r>
      <w:r>
        <w:rPr/>
        <w:t>em</w:t>
      </w:r>
      <w:r>
        <w:rPr>
          <w:spacing w:val="-4"/>
        </w:rPr>
        <w:t> </w:t>
      </w:r>
      <w:r>
        <w:rPr/>
        <w:t>vigor</w:t>
      </w:r>
      <w:r>
        <w:rPr>
          <w:spacing w:val="-4"/>
        </w:rPr>
        <w:t> </w:t>
      </w:r>
      <w:r>
        <w:rPr/>
        <w:t>na</w:t>
      </w:r>
      <w:r>
        <w:rPr>
          <w:spacing w:val="-4"/>
        </w:rPr>
        <w:t> </w:t>
      </w:r>
      <w:r>
        <w:rPr/>
        <w:t>data</w:t>
      </w:r>
      <w:r>
        <w:rPr>
          <w:spacing w:val="-4"/>
        </w:rPr>
        <w:t> </w:t>
      </w:r>
      <w:r>
        <w:rPr/>
        <w:t>de</w:t>
      </w:r>
      <w:r>
        <w:rPr>
          <w:spacing w:val="-4"/>
        </w:rPr>
        <w:t> </w:t>
      </w:r>
      <w:r>
        <w:rPr/>
        <w:t>sua</w:t>
      </w:r>
      <w:r>
        <w:rPr>
          <w:spacing w:val="-4"/>
        </w:rPr>
        <w:t> </w:t>
      </w:r>
      <w:r>
        <w:rPr/>
        <w:t>publicação. Publique-se. Cumpra-se.</w:t>
      </w:r>
    </w:p>
    <w:p>
      <w:pPr>
        <w:pStyle w:val="BodyText"/>
        <w:spacing w:line="206" w:lineRule="exact"/>
      </w:pPr>
      <w:r>
        <w:rPr/>
        <w:t>Gabinete do Procurador-Geral de Justiça, em Maceió, 28 de julho de </w:t>
      </w:r>
      <w:r>
        <w:rPr>
          <w:spacing w:val="-2"/>
        </w:rPr>
        <w:t>2025.</w:t>
      </w:r>
    </w:p>
    <w:p>
      <w:pPr>
        <w:pStyle w:val="BodyText"/>
        <w:ind w:left="0"/>
      </w:pPr>
    </w:p>
    <w:p>
      <w:pPr>
        <w:pStyle w:val="BodyText"/>
        <w:spacing w:before="27"/>
        <w:ind w:left="0"/>
      </w:pPr>
    </w:p>
    <w:p>
      <w:pPr>
        <w:pStyle w:val="Heading1"/>
      </w:pPr>
      <w:r>
        <w:rPr/>
        <w:t>LEAN ANTÔNIO FERREIRA DE </w:t>
      </w:r>
      <w:r>
        <w:rPr>
          <w:spacing w:val="-2"/>
        </w:rPr>
        <w:t>ARAÚJO</w:t>
      </w:r>
    </w:p>
    <w:p>
      <w:pPr>
        <w:pStyle w:val="BodyText"/>
        <w:spacing w:before="9"/>
      </w:pPr>
      <w:r>
        <w:rPr/>
        <w:t>Procurador-Geral de </w:t>
      </w:r>
      <w:r>
        <w:rPr>
          <w:spacing w:val="-2"/>
        </w:rPr>
        <w:t>Justiça</w:t>
      </w:r>
    </w:p>
    <w:p>
      <w:pPr>
        <w:pStyle w:val="BodyText"/>
        <w:ind w:left="0"/>
      </w:pPr>
    </w:p>
    <w:p>
      <w:pPr>
        <w:pStyle w:val="BodyText"/>
        <w:spacing w:before="27"/>
        <w:ind w:left="0"/>
      </w:pPr>
    </w:p>
    <w:p>
      <w:pPr>
        <w:spacing w:before="0"/>
        <w:ind w:left="0" w:right="0" w:firstLine="0"/>
        <w:jc w:val="center"/>
        <w:rPr>
          <w:b/>
          <w:sz w:val="18"/>
        </w:rPr>
      </w:pPr>
      <w:r>
        <w:rPr>
          <w:b/>
          <w:sz w:val="18"/>
        </w:rPr>
        <w:t>Despachos do Procurador-Geral de </w:t>
      </w:r>
      <w:r>
        <w:rPr>
          <w:b/>
          <w:spacing w:val="-2"/>
          <w:sz w:val="18"/>
        </w:rPr>
        <w:t>Justiça</w:t>
      </w:r>
    </w:p>
    <w:p>
      <w:pPr>
        <w:pStyle w:val="BodyText"/>
        <w:spacing w:before="42"/>
        <w:ind w:left="0"/>
        <w:rPr>
          <w:b/>
        </w:rPr>
      </w:pPr>
    </w:p>
    <w:p>
      <w:pPr>
        <w:pStyle w:val="Heading1"/>
        <w:spacing w:line="249" w:lineRule="auto"/>
      </w:pPr>
      <w:r>
        <w:rPr/>
        <w:t>O</w:t>
      </w:r>
      <w:r>
        <w:rPr>
          <w:spacing w:val="62"/>
        </w:rPr>
        <w:t> </w:t>
      </w:r>
      <w:r>
        <w:rPr/>
        <w:t>PROCURADOR-GERAL</w:t>
      </w:r>
      <w:r>
        <w:rPr>
          <w:spacing w:val="62"/>
        </w:rPr>
        <w:t> </w:t>
      </w:r>
      <w:r>
        <w:rPr/>
        <w:t>DE</w:t>
      </w:r>
      <w:r>
        <w:rPr>
          <w:spacing w:val="62"/>
        </w:rPr>
        <w:t> </w:t>
      </w:r>
      <w:r>
        <w:rPr/>
        <w:t>JUSTIÇA</w:t>
      </w:r>
      <w:r>
        <w:rPr>
          <w:spacing w:val="62"/>
        </w:rPr>
        <w:t> </w:t>
      </w:r>
      <w:r>
        <w:rPr/>
        <w:t>DO</w:t>
      </w:r>
      <w:r>
        <w:rPr>
          <w:spacing w:val="62"/>
        </w:rPr>
        <w:t> </w:t>
      </w:r>
      <w:r>
        <w:rPr/>
        <w:t>ESTADO</w:t>
      </w:r>
      <w:r>
        <w:rPr>
          <w:spacing w:val="62"/>
        </w:rPr>
        <w:t> </w:t>
      </w:r>
      <w:r>
        <w:rPr/>
        <w:t>DE</w:t>
      </w:r>
      <w:r>
        <w:rPr>
          <w:spacing w:val="62"/>
        </w:rPr>
        <w:t> </w:t>
      </w:r>
      <w:r>
        <w:rPr/>
        <w:t>ALAGOAS,</w:t>
      </w:r>
      <w:r>
        <w:rPr>
          <w:spacing w:val="62"/>
        </w:rPr>
        <w:t> </w:t>
      </w:r>
      <w:r>
        <w:rPr/>
        <w:t>DR.</w:t>
      </w:r>
      <w:r>
        <w:rPr>
          <w:spacing w:val="62"/>
        </w:rPr>
        <w:t> </w:t>
      </w:r>
      <w:r>
        <w:rPr/>
        <w:t>LEAN</w:t>
      </w:r>
      <w:r>
        <w:rPr>
          <w:spacing w:val="62"/>
        </w:rPr>
        <w:t> </w:t>
      </w:r>
      <w:r>
        <w:rPr/>
        <w:t>ANTÔNIO</w:t>
      </w:r>
      <w:r>
        <w:rPr>
          <w:spacing w:val="62"/>
        </w:rPr>
        <w:t> </w:t>
      </w:r>
      <w:r>
        <w:rPr/>
        <w:t>FERREIRA</w:t>
      </w:r>
      <w:r>
        <w:rPr>
          <w:spacing w:val="62"/>
        </w:rPr>
        <w:t> </w:t>
      </w:r>
      <w:r>
        <w:rPr/>
        <w:t>DE</w:t>
      </w:r>
      <w:r>
        <w:rPr>
          <w:spacing w:val="62"/>
        </w:rPr>
        <w:t> </w:t>
      </w:r>
      <w:r>
        <w:rPr/>
        <w:t>ARAÚJO, DESPACHOU NO DIA 28 DE JULHO DO CORRENTE ANO, OS SEGUINTES PROCESSOS:</w:t>
      </w:r>
    </w:p>
    <w:p>
      <w:pPr>
        <w:pStyle w:val="BodyText"/>
        <w:spacing w:before="10"/>
        <w:ind w:left="0"/>
      </w:pPr>
    </w:p>
    <w:p>
      <w:pPr>
        <w:pStyle w:val="BodyText"/>
      </w:pPr>
      <w:r>
        <w:rPr/>
        <w:t>Proc: 02.2025.00005801-</w:t>
      </w:r>
      <w:r>
        <w:rPr>
          <w:spacing w:val="-5"/>
        </w:rPr>
        <w:t>0.</w:t>
      </w:r>
    </w:p>
    <w:p>
      <w:pPr>
        <w:pStyle w:val="BodyText"/>
        <w:spacing w:line="249" w:lineRule="auto" w:before="9"/>
        <w:ind w:right="5761"/>
      </w:pPr>
      <w:r>
        <w:rPr/>
        <w:t>Interessado:</w:t>
      </w:r>
      <w:r>
        <w:rPr>
          <w:spacing w:val="-8"/>
        </w:rPr>
        <w:t> </w:t>
      </w:r>
      <w:r>
        <w:rPr/>
        <w:t>Roberta</w:t>
      </w:r>
      <w:r>
        <w:rPr>
          <w:spacing w:val="-8"/>
        </w:rPr>
        <w:t> </w:t>
      </w:r>
      <w:r>
        <w:rPr/>
        <w:t>Scotch</w:t>
      </w:r>
      <w:r>
        <w:rPr>
          <w:spacing w:val="-8"/>
        </w:rPr>
        <w:t> </w:t>
      </w:r>
      <w:r>
        <w:rPr/>
        <w:t>Afonso</w:t>
      </w:r>
      <w:r>
        <w:rPr>
          <w:spacing w:val="-8"/>
        </w:rPr>
        <w:t> </w:t>
      </w:r>
      <w:r>
        <w:rPr/>
        <w:t>do</w:t>
      </w:r>
      <w:r>
        <w:rPr>
          <w:spacing w:val="-8"/>
        </w:rPr>
        <w:t> </w:t>
      </w:r>
      <w:r>
        <w:rPr/>
        <w:t>Nascimento. Assunto: Requerimento de providências.</w:t>
      </w:r>
    </w:p>
    <w:p>
      <w:pPr>
        <w:pStyle w:val="BodyText"/>
        <w:spacing w:line="249" w:lineRule="auto" w:before="2"/>
      </w:pPr>
      <w:r>
        <w:rPr/>
        <w:t>Despacho:</w:t>
      </w:r>
      <w:r>
        <w:rPr>
          <w:spacing w:val="40"/>
        </w:rPr>
        <w:t> </w:t>
      </w:r>
      <w:r>
        <w:rPr/>
        <w:t>Em</w:t>
      </w:r>
      <w:r>
        <w:rPr>
          <w:spacing w:val="40"/>
        </w:rPr>
        <w:t> </w:t>
      </w:r>
      <w:r>
        <w:rPr/>
        <w:t>face</w:t>
      </w:r>
      <w:r>
        <w:rPr>
          <w:spacing w:val="40"/>
        </w:rPr>
        <w:t> </w:t>
      </w:r>
      <w:r>
        <w:rPr/>
        <w:t>da</w:t>
      </w:r>
      <w:r>
        <w:rPr>
          <w:spacing w:val="40"/>
        </w:rPr>
        <w:t> </w:t>
      </w:r>
      <w:r>
        <w:rPr/>
        <w:t>manifestação</w:t>
      </w:r>
      <w:r>
        <w:rPr>
          <w:spacing w:val="40"/>
        </w:rPr>
        <w:t> </w:t>
      </w:r>
      <w:r>
        <w:rPr/>
        <w:t>da</w:t>
      </w:r>
      <w:r>
        <w:rPr>
          <w:spacing w:val="40"/>
        </w:rPr>
        <w:t> </w:t>
      </w:r>
      <w:r>
        <w:rPr/>
        <w:t>8ª</w:t>
      </w:r>
      <w:r>
        <w:rPr>
          <w:spacing w:val="40"/>
        </w:rPr>
        <w:t> </w:t>
      </w:r>
      <w:r>
        <w:rPr/>
        <w:t>Promotoria</w:t>
      </w:r>
      <w:r>
        <w:rPr>
          <w:spacing w:val="40"/>
        </w:rPr>
        <w:t> </w:t>
      </w:r>
      <w:r>
        <w:rPr/>
        <w:t>de</w:t>
      </w:r>
      <w:r>
        <w:rPr>
          <w:spacing w:val="40"/>
        </w:rPr>
        <w:t> </w:t>
      </w:r>
      <w:r>
        <w:rPr/>
        <w:t>Justiça</w:t>
      </w:r>
      <w:r>
        <w:rPr>
          <w:spacing w:val="40"/>
        </w:rPr>
        <w:t> </w:t>
      </w:r>
      <w:r>
        <w:rPr/>
        <w:t>da</w:t>
      </w:r>
      <w:r>
        <w:rPr>
          <w:spacing w:val="40"/>
        </w:rPr>
        <w:t> </w:t>
      </w:r>
      <w:r>
        <w:rPr/>
        <w:t>Capital,</w:t>
      </w:r>
      <w:r>
        <w:rPr>
          <w:spacing w:val="40"/>
        </w:rPr>
        <w:t> </w:t>
      </w:r>
      <w:r>
        <w:rPr/>
        <w:t>às</w:t>
      </w:r>
      <w:r>
        <w:rPr>
          <w:spacing w:val="40"/>
        </w:rPr>
        <w:t> </w:t>
      </w:r>
      <w:r>
        <w:rPr/>
        <w:t>96/99,</w:t>
      </w:r>
      <w:r>
        <w:rPr>
          <w:spacing w:val="40"/>
        </w:rPr>
        <w:t> </w:t>
      </w:r>
      <w:r>
        <w:rPr/>
        <w:t>volvam</w:t>
      </w:r>
      <w:r>
        <w:rPr>
          <w:spacing w:val="40"/>
        </w:rPr>
        <w:t> </w:t>
      </w:r>
      <w:r>
        <w:rPr/>
        <w:t>os</w:t>
      </w:r>
      <w:r>
        <w:rPr>
          <w:spacing w:val="40"/>
        </w:rPr>
        <w:t> </w:t>
      </w:r>
      <w:r>
        <w:rPr/>
        <w:t>presentes</w:t>
      </w:r>
      <w:r>
        <w:rPr>
          <w:spacing w:val="40"/>
        </w:rPr>
        <w:t> </w:t>
      </w:r>
      <w:r>
        <w:rPr/>
        <w:t>autos</w:t>
      </w:r>
      <w:r>
        <w:rPr>
          <w:spacing w:val="40"/>
        </w:rPr>
        <w:t> </w:t>
      </w:r>
      <w:r>
        <w:rPr/>
        <w:t>ao</w:t>
      </w:r>
      <w:r>
        <w:rPr>
          <w:spacing w:val="40"/>
        </w:rPr>
        <w:t> </w:t>
      </w:r>
      <w:r>
        <w:rPr/>
        <w:t>interessado, para as medidas cabíveis.</w:t>
      </w:r>
    </w:p>
    <w:p>
      <w:pPr>
        <w:pStyle w:val="BodyText"/>
        <w:spacing w:before="10"/>
        <w:ind w:left="0"/>
      </w:pPr>
    </w:p>
    <w:p>
      <w:pPr>
        <w:pStyle w:val="BodyText"/>
      </w:pPr>
      <w:r>
        <w:rPr/>
        <w:t>Proc:02.2025.00007238-</w:t>
      </w:r>
      <w:r>
        <w:rPr>
          <w:spacing w:val="-5"/>
        </w:rPr>
        <w:t>9.</w:t>
      </w:r>
    </w:p>
    <w:p>
      <w:pPr>
        <w:pStyle w:val="BodyText"/>
        <w:spacing w:line="249" w:lineRule="auto" w:before="9"/>
        <w:ind w:right="4861"/>
      </w:pPr>
      <w:r>
        <w:rPr/>
        <w:t>Interessado:</w:t>
      </w:r>
      <w:r>
        <w:rPr>
          <w:spacing w:val="-4"/>
        </w:rPr>
        <w:t> </w:t>
      </w:r>
      <w:r>
        <w:rPr/>
        <w:t>3ª</w:t>
      </w:r>
      <w:r>
        <w:rPr>
          <w:spacing w:val="-4"/>
        </w:rPr>
        <w:t> </w:t>
      </w:r>
      <w:r>
        <w:rPr/>
        <w:t>Vara</w:t>
      </w:r>
      <w:r>
        <w:rPr>
          <w:spacing w:val="-4"/>
        </w:rPr>
        <w:t> </w:t>
      </w:r>
      <w:r>
        <w:rPr/>
        <w:t>da</w:t>
      </w:r>
      <w:r>
        <w:rPr>
          <w:spacing w:val="-4"/>
        </w:rPr>
        <w:t> </w:t>
      </w:r>
      <w:r>
        <w:rPr/>
        <w:t>Comarca</w:t>
      </w:r>
      <w:r>
        <w:rPr>
          <w:spacing w:val="-4"/>
        </w:rPr>
        <w:t> </w:t>
      </w:r>
      <w:r>
        <w:rPr/>
        <w:t>de</w:t>
      </w:r>
      <w:r>
        <w:rPr>
          <w:spacing w:val="-4"/>
        </w:rPr>
        <w:t> </w:t>
      </w:r>
      <w:r>
        <w:rPr/>
        <w:t>Santana</w:t>
      </w:r>
      <w:r>
        <w:rPr>
          <w:spacing w:val="-4"/>
        </w:rPr>
        <w:t> </w:t>
      </w:r>
      <w:r>
        <w:rPr/>
        <w:t>do</w:t>
      </w:r>
      <w:r>
        <w:rPr>
          <w:spacing w:val="-4"/>
        </w:rPr>
        <w:t> </w:t>
      </w:r>
      <w:r>
        <w:rPr/>
        <w:t>Ipanema</w:t>
      </w:r>
      <w:r>
        <w:rPr>
          <w:spacing w:val="-4"/>
        </w:rPr>
        <w:t> </w:t>
      </w:r>
      <w:r>
        <w:rPr/>
        <w:t>-</w:t>
      </w:r>
      <w:r>
        <w:rPr>
          <w:spacing w:val="-4"/>
        </w:rPr>
        <w:t> </w:t>
      </w:r>
      <w:r>
        <w:rPr/>
        <w:t>TJAL. Assunto: Requerimento de providências.</w:t>
      </w:r>
    </w:p>
    <w:p>
      <w:pPr>
        <w:pStyle w:val="BodyText"/>
        <w:spacing w:line="249" w:lineRule="auto" w:before="2"/>
      </w:pPr>
      <w:r>
        <w:rPr/>
        <w:t>Despacho: Em face das providências adotadas no âmbito da Procuradoria-Geral de Justiça, notadamente a expedição do Ofício SAJ n. 0341/2025/PROCG-GAB.PGJ.MPE/AL, determino o arquivamento do presente feito.</w:t>
      </w:r>
    </w:p>
    <w:p>
      <w:pPr>
        <w:pStyle w:val="BodyText"/>
        <w:spacing w:before="10"/>
        <w:ind w:left="0"/>
      </w:pPr>
    </w:p>
    <w:p>
      <w:pPr>
        <w:pStyle w:val="BodyText"/>
      </w:pPr>
      <w:r>
        <w:rPr/>
        <w:t>Proc: 02.2025.00007423-</w:t>
      </w:r>
      <w:r>
        <w:rPr>
          <w:spacing w:val="-5"/>
        </w:rPr>
        <w:t>2.</w:t>
      </w:r>
    </w:p>
    <w:p>
      <w:pPr>
        <w:pStyle w:val="BodyText"/>
        <w:spacing w:line="249" w:lineRule="auto" w:before="9"/>
        <w:ind w:right="6579"/>
      </w:pPr>
      <w:r>
        <w:rPr/>
        <w:t>Interessado:</w:t>
      </w:r>
      <w:r>
        <w:rPr>
          <w:spacing w:val="-7"/>
        </w:rPr>
        <w:t> </w:t>
      </w:r>
      <w:r>
        <w:rPr/>
        <w:t>Jheise</w:t>
      </w:r>
      <w:r>
        <w:rPr>
          <w:spacing w:val="-7"/>
        </w:rPr>
        <w:t> </w:t>
      </w:r>
      <w:r>
        <w:rPr/>
        <w:t>de</w:t>
      </w:r>
      <w:r>
        <w:rPr>
          <w:spacing w:val="-7"/>
        </w:rPr>
        <w:t> </w:t>
      </w:r>
      <w:r>
        <w:rPr/>
        <w:t>Fátima</w:t>
      </w:r>
      <w:r>
        <w:rPr>
          <w:spacing w:val="-7"/>
        </w:rPr>
        <w:t> </w:t>
      </w:r>
      <w:r>
        <w:rPr/>
        <w:t>Lima</w:t>
      </w:r>
      <w:r>
        <w:rPr>
          <w:spacing w:val="-7"/>
        </w:rPr>
        <w:t> </w:t>
      </w:r>
      <w:r>
        <w:rPr/>
        <w:t>da</w:t>
      </w:r>
      <w:r>
        <w:rPr>
          <w:spacing w:val="-7"/>
        </w:rPr>
        <w:t> </w:t>
      </w:r>
      <w:r>
        <w:rPr/>
        <w:t>Gama. Assunto: Requerimento de providências.</w:t>
      </w:r>
    </w:p>
    <w:p>
      <w:pPr>
        <w:pStyle w:val="BodyText"/>
        <w:spacing w:before="2"/>
      </w:pPr>
      <w:r>
        <w:rPr/>
        <w:t>Despacho: Defiro. Lavre-se a necessária portaria. Em seguida, remetam-se os autos ao </w:t>
      </w:r>
      <w:r>
        <w:rPr>
          <w:spacing w:val="-2"/>
        </w:rPr>
        <w:t>interessado.</w:t>
      </w:r>
    </w:p>
    <w:p>
      <w:pPr>
        <w:pStyle w:val="BodyText"/>
        <w:spacing w:before="18"/>
        <w:ind w:left="0"/>
      </w:pPr>
    </w:p>
    <w:p>
      <w:pPr>
        <w:pStyle w:val="BodyText"/>
        <w:jc w:val="both"/>
      </w:pPr>
      <w:r>
        <w:rPr/>
        <w:t>Proc: 02.2025.00007490-</w:t>
      </w:r>
      <w:r>
        <w:rPr>
          <w:spacing w:val="-5"/>
        </w:rPr>
        <w:t>0.</w:t>
      </w:r>
    </w:p>
    <w:p>
      <w:pPr>
        <w:pStyle w:val="BodyText"/>
        <w:spacing w:line="249" w:lineRule="auto" w:before="9"/>
        <w:ind w:right="6551"/>
        <w:jc w:val="both"/>
      </w:pPr>
      <w:r>
        <w:rPr/>
        <w:t>Interessado:</w:t>
      </w:r>
      <w:r>
        <w:rPr>
          <w:spacing w:val="-6"/>
        </w:rPr>
        <w:t> </w:t>
      </w:r>
      <w:r>
        <w:rPr/>
        <w:t>6ª</w:t>
      </w:r>
      <w:r>
        <w:rPr>
          <w:spacing w:val="-6"/>
        </w:rPr>
        <w:t> </w:t>
      </w:r>
      <w:r>
        <w:rPr/>
        <w:t>Vara</w:t>
      </w:r>
      <w:r>
        <w:rPr>
          <w:spacing w:val="-6"/>
        </w:rPr>
        <w:t> </w:t>
      </w:r>
      <w:r>
        <w:rPr/>
        <w:t>Criminal</w:t>
      </w:r>
      <w:r>
        <w:rPr>
          <w:spacing w:val="-6"/>
        </w:rPr>
        <w:t> </w:t>
      </w:r>
      <w:r>
        <w:rPr/>
        <w:t>da</w:t>
      </w:r>
      <w:r>
        <w:rPr>
          <w:spacing w:val="-6"/>
        </w:rPr>
        <w:t> </w:t>
      </w:r>
      <w:r>
        <w:rPr/>
        <w:t>Capital</w:t>
      </w:r>
      <w:r>
        <w:rPr>
          <w:spacing w:val="-6"/>
        </w:rPr>
        <w:t> </w:t>
      </w:r>
      <w:r>
        <w:rPr/>
        <w:t>-</w:t>
      </w:r>
      <w:r>
        <w:rPr>
          <w:spacing w:val="-6"/>
        </w:rPr>
        <w:t> </w:t>
      </w:r>
      <w:r>
        <w:rPr/>
        <w:t>TJAL. Assunto:Requerimento de providências.</w:t>
      </w:r>
    </w:p>
    <w:p>
      <w:pPr>
        <w:pStyle w:val="BodyText"/>
        <w:spacing w:line="249" w:lineRule="auto" w:before="1"/>
        <w:ind w:right="62"/>
        <w:jc w:val="both"/>
      </w:pPr>
      <w:r>
        <w:rPr/>
        <w:t>Despacho: Acolho o parecer da douta Assessoria Técnica, com a seguinte ementa: "Inquérito. Crime do art. 155, caput, do Código Penal. Promoção de arquivamento pelo MP. Discordância do Juízo de Direito da 6ª Vara Criminal da Capital. Encaminhamento dos autos à PGJ. Art. 28 do CPP. Inaplicabilidade do princípio bagatelar próprio. Tipicidade material da conduta. Reiteração criminosa e habitualidade delitiva. Reprovabilidade do comportamento. Pela designação de Promotor de Justiça para atuar no caso, conforme o disposto no artigo 28 do Código de Processo Penal". À douta Assessoria Especial desta </w:t>
      </w:r>
      <w:r>
        <w:rPr>
          <w:spacing w:val="-4"/>
        </w:rPr>
        <w:t>PGJ.</w:t>
      </w:r>
    </w:p>
    <w:p>
      <w:pPr>
        <w:pStyle w:val="BodyText"/>
        <w:spacing w:before="14"/>
        <w:ind w:left="0"/>
      </w:pPr>
    </w:p>
    <w:p>
      <w:pPr>
        <w:pStyle w:val="BodyText"/>
      </w:pPr>
      <w:r>
        <w:rPr/>
        <w:t>Proc:02.2025.00007684-</w:t>
      </w:r>
      <w:r>
        <w:rPr>
          <w:spacing w:val="-5"/>
        </w:rPr>
        <w:t>1.</w:t>
      </w:r>
    </w:p>
    <w:p>
      <w:pPr>
        <w:pStyle w:val="BodyText"/>
        <w:spacing w:line="249" w:lineRule="auto" w:before="9"/>
        <w:ind w:right="6579"/>
      </w:pPr>
      <w:r>
        <w:rPr/>
        <w:t>Interessado: João Batista Santos Filho. Assunto:</w:t>
      </w:r>
      <w:r>
        <w:rPr>
          <w:spacing w:val="-13"/>
        </w:rPr>
        <w:t> </w:t>
      </w:r>
      <w:r>
        <w:rPr/>
        <w:t>Requerimento</w:t>
      </w:r>
      <w:r>
        <w:rPr>
          <w:spacing w:val="-12"/>
        </w:rPr>
        <w:t> </w:t>
      </w:r>
      <w:r>
        <w:rPr/>
        <w:t>de</w:t>
      </w:r>
      <w:r>
        <w:rPr>
          <w:spacing w:val="-13"/>
        </w:rPr>
        <w:t> </w:t>
      </w:r>
      <w:r>
        <w:rPr/>
        <w:t>providências.</w:t>
      </w:r>
    </w:p>
    <w:p>
      <w:pPr>
        <w:pStyle w:val="BodyText"/>
        <w:spacing w:before="1"/>
      </w:pPr>
      <w:r>
        <w:rPr/>
        <w:t>Despacho:</w:t>
      </w:r>
      <w:r>
        <w:rPr>
          <w:spacing w:val="32"/>
        </w:rPr>
        <w:t> </w:t>
      </w:r>
      <w:r>
        <w:rPr/>
        <w:t>Em</w:t>
      </w:r>
      <w:r>
        <w:rPr>
          <w:spacing w:val="33"/>
        </w:rPr>
        <w:t> </w:t>
      </w:r>
      <w:r>
        <w:rPr/>
        <w:t>face</w:t>
      </w:r>
      <w:r>
        <w:rPr>
          <w:spacing w:val="32"/>
        </w:rPr>
        <w:t> </w:t>
      </w:r>
      <w:r>
        <w:rPr/>
        <w:t>das</w:t>
      </w:r>
      <w:r>
        <w:rPr>
          <w:spacing w:val="33"/>
        </w:rPr>
        <w:t> </w:t>
      </w:r>
      <w:r>
        <w:rPr/>
        <w:t>providências</w:t>
      </w:r>
      <w:r>
        <w:rPr>
          <w:spacing w:val="33"/>
        </w:rPr>
        <w:t> </w:t>
      </w:r>
      <w:r>
        <w:rPr/>
        <w:t>adotadas</w:t>
      </w:r>
      <w:r>
        <w:rPr>
          <w:spacing w:val="32"/>
        </w:rPr>
        <w:t> </w:t>
      </w:r>
      <w:r>
        <w:rPr/>
        <w:t>no</w:t>
      </w:r>
      <w:r>
        <w:rPr>
          <w:spacing w:val="33"/>
        </w:rPr>
        <w:t> </w:t>
      </w:r>
      <w:r>
        <w:rPr/>
        <w:t>âmbito</w:t>
      </w:r>
      <w:r>
        <w:rPr>
          <w:spacing w:val="32"/>
        </w:rPr>
        <w:t> </w:t>
      </w:r>
      <w:r>
        <w:rPr/>
        <w:t>da</w:t>
      </w:r>
      <w:r>
        <w:rPr>
          <w:spacing w:val="33"/>
        </w:rPr>
        <w:t> </w:t>
      </w:r>
      <w:r>
        <w:rPr/>
        <w:t>Procuradoria-Geral</w:t>
      </w:r>
      <w:r>
        <w:rPr>
          <w:spacing w:val="33"/>
        </w:rPr>
        <w:t> </w:t>
      </w:r>
      <w:r>
        <w:rPr/>
        <w:t>de</w:t>
      </w:r>
      <w:r>
        <w:rPr>
          <w:spacing w:val="32"/>
        </w:rPr>
        <w:t> </w:t>
      </w:r>
      <w:r>
        <w:rPr/>
        <w:t>Justiça,</w:t>
      </w:r>
      <w:r>
        <w:rPr>
          <w:spacing w:val="33"/>
        </w:rPr>
        <w:t> </w:t>
      </w:r>
      <w:r>
        <w:rPr/>
        <w:t>determino</w:t>
      </w:r>
      <w:r>
        <w:rPr>
          <w:spacing w:val="32"/>
        </w:rPr>
        <w:t> </w:t>
      </w:r>
      <w:r>
        <w:rPr/>
        <w:t>o</w:t>
      </w:r>
      <w:r>
        <w:rPr>
          <w:spacing w:val="33"/>
        </w:rPr>
        <w:t> </w:t>
      </w:r>
      <w:r>
        <w:rPr/>
        <w:t>arquivamento</w:t>
      </w:r>
      <w:r>
        <w:rPr>
          <w:spacing w:val="33"/>
        </w:rPr>
        <w:t> </w:t>
      </w:r>
      <w:r>
        <w:rPr>
          <w:spacing w:val="-5"/>
        </w:rPr>
        <w:t>do</w:t>
      </w:r>
    </w:p>
    <w:sectPr>
      <w:pgSz w:w="11900" w:h="16840"/>
      <w:pgMar w:header="799" w:footer="725" w:top="2540" w:bottom="92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23328">
              <wp:simplePos x="0" y="0"/>
              <wp:positionH relativeFrom="page">
                <wp:posOffset>431800</wp:posOffset>
              </wp:positionH>
              <wp:positionV relativeFrom="page">
                <wp:posOffset>10058400</wp:posOffset>
              </wp:positionV>
              <wp:extent cx="66929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3152"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523840">
              <wp:simplePos x="0" y="0"/>
              <wp:positionH relativeFrom="page">
                <wp:posOffset>1027683</wp:posOffset>
              </wp:positionH>
              <wp:positionV relativeFrom="page">
                <wp:posOffset>10080724</wp:posOffset>
              </wp:positionV>
              <wp:extent cx="5502275"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5792640" type="#_x0000_t202" id="docshape3"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4352">
              <wp:simplePos x="0" y="0"/>
              <wp:positionH relativeFrom="page">
                <wp:posOffset>6990588</wp:posOffset>
              </wp:positionH>
              <wp:positionV relativeFrom="page">
                <wp:posOffset>10235530</wp:posOffset>
              </wp:positionV>
              <wp:extent cx="160020" cy="1676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0020" cy="167640"/>
                      </a:xfrm>
                      <a:prstGeom prst="rect">
                        <a:avLst/>
                      </a:prstGeom>
                    </wps:spPr>
                    <wps:txbx>
                      <w:txbxContent>
                        <w:p>
                          <w:pPr>
                            <w:spacing w:before="13"/>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792128" type="#_x0000_t202" id="docshape4" filled="false" stroked="false">
              <v:textbox inset="0,0,0,0">
                <w:txbxContent>
                  <w:p>
                    <w:pPr>
                      <w:spacing w:before="13"/>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521280">
          <wp:simplePos x="0" y="0"/>
          <wp:positionH relativeFrom="page">
            <wp:posOffset>456451</wp:posOffset>
          </wp:positionH>
          <wp:positionV relativeFrom="page">
            <wp:posOffset>507626</wp:posOffset>
          </wp:positionV>
          <wp:extent cx="6655922" cy="78273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655922" cy="7827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1792">
              <wp:simplePos x="0" y="0"/>
              <wp:positionH relativeFrom="page">
                <wp:posOffset>431800</wp:posOffset>
              </wp:positionH>
              <wp:positionV relativeFrom="page">
                <wp:posOffset>1613280</wp:posOffset>
              </wp:positionV>
              <wp:extent cx="66929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4688" from="34pt,127.029999pt" to="561pt,127.029999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522304">
              <wp:simplePos x="0" y="0"/>
              <wp:positionH relativeFrom="page">
                <wp:posOffset>419100</wp:posOffset>
              </wp:positionH>
              <wp:positionV relativeFrom="page">
                <wp:posOffset>1370108</wp:posOffset>
              </wp:positionV>
              <wp:extent cx="233235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32355" cy="153670"/>
                      </a:xfrm>
                      <a:prstGeom prst="rect">
                        <a:avLst/>
                      </a:prstGeom>
                    </wps:spPr>
                    <wps:txbx>
                      <w:txbxContent>
                        <w:p>
                          <w:pPr>
                            <w:pStyle w:val="BodyText"/>
                            <w:spacing w:before="14"/>
                            <w:ind w:left="20"/>
                          </w:pPr>
                          <w:r>
                            <w:rPr/>
                            <w:t>Data de disponibilização: 29 de julho de </w:t>
                          </w:r>
                          <w:r>
                            <w:rPr>
                              <w:spacing w:val="-4"/>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pt;margin-top:107.882538pt;width:183.65pt;height:12.1pt;mso-position-horizontal-relative:page;mso-position-vertical-relative:page;z-index:-15794176" type="#_x0000_t202" id="docshape1" filled="false" stroked="false">
              <v:textbox inset="0,0,0,0">
                <w:txbxContent>
                  <w:p>
                    <w:pPr>
                      <w:pStyle w:val="BodyText"/>
                      <w:spacing w:before="14"/>
                      <w:ind w:left="20"/>
                    </w:pPr>
                    <w:r>
                      <w:rPr/>
                      <w:t>Data de disponibilização: 29 de julho de </w:t>
                    </w:r>
                    <w:r>
                      <w:rPr>
                        <w:spacing w:val="-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2816">
              <wp:simplePos x="0" y="0"/>
              <wp:positionH relativeFrom="page">
                <wp:posOffset>6339982</wp:posOffset>
              </wp:positionH>
              <wp:positionV relativeFrom="page">
                <wp:posOffset>1370108</wp:posOffset>
              </wp:positionV>
              <wp:extent cx="79819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98195" cy="153670"/>
                      </a:xfrm>
                      <a:prstGeom prst="rect">
                        <a:avLst/>
                      </a:prstGeom>
                    </wps:spPr>
                    <wps:txbx>
                      <w:txbxContent>
                        <w:p>
                          <w:pPr>
                            <w:pStyle w:val="BodyText"/>
                            <w:spacing w:before="14"/>
                            <w:ind w:left="20"/>
                          </w:pPr>
                          <w:r>
                            <w:rPr/>
                            <w:t>Edição nº </w:t>
                          </w:r>
                          <w:r>
                            <w:rPr>
                              <w:spacing w:val="-4"/>
                            </w:rPr>
                            <w:t>1411</w:t>
                          </w:r>
                        </w:p>
                      </w:txbxContent>
                    </wps:txbx>
                    <wps:bodyPr wrap="square" lIns="0" tIns="0" rIns="0" bIns="0" rtlCol="0">
                      <a:noAutofit/>
                    </wps:bodyPr>
                  </wps:wsp>
                </a:graphicData>
              </a:graphic>
            </wp:anchor>
          </w:drawing>
        </mc:Choice>
        <mc:Fallback>
          <w:pict>
            <v:shape style="position:absolute;margin-left:499.211182pt;margin-top:107.882538pt;width:62.85pt;height:12.1pt;mso-position-horizontal-relative:page;mso-position-vertical-relative:page;z-index:-15793664" type="#_x0000_t202" id="docshape2" filled="false" stroked="false">
              <v:textbox inset="0,0,0,0">
                <w:txbxContent>
                  <w:p>
                    <w:pPr>
                      <w:pStyle w:val="BodyText"/>
                      <w:spacing w:before="14"/>
                      <w:ind w:left="20"/>
                    </w:pPr>
                    <w:r>
                      <w:rPr/>
                      <w:t>Edição nº </w:t>
                    </w:r>
                    <w:r>
                      <w:rPr>
                        <w:spacing w:val="-4"/>
                      </w:rPr>
                      <w:t>1411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92" w:hanging="102"/>
        <w:jc w:val="left"/>
      </w:pPr>
      <w:rPr>
        <w:rFonts w:hint="default" w:ascii="Arial" w:hAnsi="Arial" w:eastAsia="Arial" w:cs="Arial"/>
        <w:b w:val="0"/>
        <w:bCs w:val="0"/>
        <w:i w:val="0"/>
        <w:iCs w:val="0"/>
        <w:spacing w:val="0"/>
        <w:w w:val="100"/>
        <w:sz w:val="18"/>
        <w:szCs w:val="18"/>
        <w:lang w:val="pt-PT" w:eastAsia="en-US" w:bidi="ar-SA"/>
      </w:rPr>
    </w:lvl>
    <w:lvl w:ilvl="1">
      <w:start w:val="0"/>
      <w:numFmt w:val="bullet"/>
      <w:lvlText w:val="•"/>
      <w:lvlJc w:val="left"/>
      <w:pPr>
        <w:ind w:left="1138" w:hanging="102"/>
      </w:pPr>
      <w:rPr>
        <w:rFonts w:hint="default"/>
        <w:lang w:val="pt-PT" w:eastAsia="en-US" w:bidi="ar-SA"/>
      </w:rPr>
    </w:lvl>
    <w:lvl w:ilvl="2">
      <w:start w:val="0"/>
      <w:numFmt w:val="bullet"/>
      <w:lvlText w:val="•"/>
      <w:lvlJc w:val="left"/>
      <w:pPr>
        <w:ind w:left="2176" w:hanging="102"/>
      </w:pPr>
      <w:rPr>
        <w:rFonts w:hint="default"/>
        <w:lang w:val="pt-PT" w:eastAsia="en-US" w:bidi="ar-SA"/>
      </w:rPr>
    </w:lvl>
    <w:lvl w:ilvl="3">
      <w:start w:val="0"/>
      <w:numFmt w:val="bullet"/>
      <w:lvlText w:val="•"/>
      <w:lvlJc w:val="left"/>
      <w:pPr>
        <w:ind w:left="3215" w:hanging="102"/>
      </w:pPr>
      <w:rPr>
        <w:rFonts w:hint="default"/>
        <w:lang w:val="pt-PT" w:eastAsia="en-US" w:bidi="ar-SA"/>
      </w:rPr>
    </w:lvl>
    <w:lvl w:ilvl="4">
      <w:start w:val="0"/>
      <w:numFmt w:val="bullet"/>
      <w:lvlText w:val="•"/>
      <w:lvlJc w:val="left"/>
      <w:pPr>
        <w:ind w:left="4253" w:hanging="102"/>
      </w:pPr>
      <w:rPr>
        <w:rFonts w:hint="default"/>
        <w:lang w:val="pt-PT" w:eastAsia="en-US" w:bidi="ar-SA"/>
      </w:rPr>
    </w:lvl>
    <w:lvl w:ilvl="5">
      <w:start w:val="0"/>
      <w:numFmt w:val="bullet"/>
      <w:lvlText w:val="•"/>
      <w:lvlJc w:val="left"/>
      <w:pPr>
        <w:ind w:left="5292" w:hanging="102"/>
      </w:pPr>
      <w:rPr>
        <w:rFonts w:hint="default"/>
        <w:lang w:val="pt-PT" w:eastAsia="en-US" w:bidi="ar-SA"/>
      </w:rPr>
    </w:lvl>
    <w:lvl w:ilvl="6">
      <w:start w:val="0"/>
      <w:numFmt w:val="bullet"/>
      <w:lvlText w:val="•"/>
      <w:lvlJc w:val="left"/>
      <w:pPr>
        <w:ind w:left="6330" w:hanging="102"/>
      </w:pPr>
      <w:rPr>
        <w:rFonts w:hint="default"/>
        <w:lang w:val="pt-PT" w:eastAsia="en-US" w:bidi="ar-SA"/>
      </w:rPr>
    </w:lvl>
    <w:lvl w:ilvl="7">
      <w:start w:val="0"/>
      <w:numFmt w:val="bullet"/>
      <w:lvlText w:val="•"/>
      <w:lvlJc w:val="left"/>
      <w:pPr>
        <w:ind w:left="7368" w:hanging="102"/>
      </w:pPr>
      <w:rPr>
        <w:rFonts w:hint="default"/>
        <w:lang w:val="pt-PT" w:eastAsia="en-US" w:bidi="ar-SA"/>
      </w:rPr>
    </w:lvl>
    <w:lvl w:ilvl="8">
      <w:start w:val="0"/>
      <w:numFmt w:val="bullet"/>
      <w:lvlText w:val="•"/>
      <w:lvlJc w:val="left"/>
      <w:pPr>
        <w:ind w:left="8407" w:hanging="102"/>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ind w:left="92"/>
    </w:pPr>
    <w:rPr>
      <w:rFonts w:ascii="Arial" w:hAnsi="Arial" w:eastAsia="Arial" w:cs="Arial"/>
      <w:sz w:val="18"/>
      <w:szCs w:val="18"/>
      <w:lang w:val="pt-PT" w:eastAsia="en-US" w:bidi="ar-SA"/>
    </w:rPr>
  </w:style>
  <w:style w:styleId="Heading1" w:type="paragraph">
    <w:name w:val="Heading 1"/>
    <w:basedOn w:val="Normal"/>
    <w:uiPriority w:val="1"/>
    <w:qFormat/>
    <w:pPr>
      <w:ind w:left="92"/>
      <w:outlineLvl w:val="1"/>
    </w:pPr>
    <w:rPr>
      <w:rFonts w:ascii="Arial" w:hAnsi="Arial" w:eastAsia="Arial" w:cs="Arial"/>
      <w:sz w:val="18"/>
      <w:szCs w:val="18"/>
      <w:lang w:val="pt-PT" w:eastAsia="en-US" w:bidi="ar-SA"/>
    </w:rPr>
  </w:style>
  <w:style w:styleId="Title" w:type="paragraph">
    <w:name w:val="Title"/>
    <w:basedOn w:val="Normal"/>
    <w:uiPriority w:val="1"/>
    <w:qFormat/>
    <w:pPr>
      <w:spacing w:before="13"/>
      <w:ind w:left="60"/>
    </w:pPr>
    <w:rPr>
      <w:rFonts w:ascii="Arial" w:hAnsi="Arial" w:eastAsia="Arial" w:cs="Arial"/>
      <w:b/>
      <w:bCs/>
      <w:sz w:val="20"/>
      <w:szCs w:val="20"/>
      <w:lang w:val="pt-PT" w:eastAsia="en-US" w:bidi="ar-SA"/>
    </w:rPr>
  </w:style>
  <w:style w:styleId="ListParagraph" w:type="paragraph">
    <w:name w:val="List Paragraph"/>
    <w:basedOn w:val="Normal"/>
    <w:uiPriority w:val="1"/>
    <w:qFormat/>
    <w:pPr>
      <w:ind w:left="92" w:right="87"/>
      <w:jc w:val="both"/>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2025-07-30T12:38:24Z</dcterms:created>
  <dcterms:modified xsi:type="dcterms:W3CDTF">2025-07-30T12:38:24Z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PDFium</vt:lpwstr>
  </property>
  <property fmtid="{D5CDD505-2E9C-101B-9397-08002B2CF9AE}" pid="4" name="LastSaved">
    <vt:filetime>2025-07-30T00:00:00Z</vt:filetime>
  </property>
  <property fmtid="{D5CDD505-2E9C-101B-9397-08002B2CF9AE}" pid="5" name="Producer">
    <vt:lpwstr>3-Heights(TM) PDF Security Shell 4.8.25.2 (http://www.pdf-tools.com)</vt:lpwstr>
  </property>
</Properties>
</file>