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2"/>
        <w:rPr>
          <w:rFonts w:ascii="Times New Roman"/>
          <w:sz w:val="20"/>
        </w:rPr>
      </w:pPr>
      <w:r>
        <w:rPr>
          <w:rFonts w:ascii="Times New Roman"/>
          <w:sz w:val="20"/>
        </w:rPr>
        <w:drawing>
          <wp:inline distT="0" distB="0" distL="0" distR="0">
            <wp:extent cx="6686116" cy="786288"/>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686116" cy="786288"/>
                    </a:xfrm>
                    <a:prstGeom prst="rect">
                      <a:avLst/>
                    </a:prstGeom>
                  </pic:spPr>
                </pic:pic>
              </a:graphicData>
            </a:graphic>
          </wp:inline>
        </w:drawing>
      </w:r>
      <w:r>
        <w:rPr>
          <w:rFonts w:ascii="Times New Roman"/>
          <w:sz w:val="20"/>
        </w:rPr>
      </w:r>
    </w:p>
    <w:p>
      <w:pPr>
        <w:pStyle w:val="BodyText"/>
        <w:tabs>
          <w:tab w:pos="9438" w:val="left" w:leader="none"/>
        </w:tabs>
        <w:spacing w:before="143"/>
        <w:ind w:left="113"/>
      </w:pPr>
      <w:r>
        <w:rPr/>
        <w:t>Data de disponibilização: 24 de novembro de </w:t>
      </w:r>
      <w:r>
        <w:rPr>
          <w:spacing w:val="-4"/>
        </w:rPr>
        <w:t>2023</w:t>
      </w:r>
      <w:r>
        <w:rPr/>
        <w:tab/>
        <w:t>Edição nº </w:t>
      </w:r>
      <w:r>
        <w:rPr>
          <w:spacing w:val="-4"/>
        </w:rPr>
        <w:t>1016</w:t>
      </w:r>
    </w:p>
    <w:p>
      <w:pPr>
        <w:pStyle w:val="BodyText"/>
        <w:rPr>
          <w:sz w:val="12"/>
        </w:rPr>
      </w:pPr>
      <w:r>
        <w:rPr>
          <w:sz w:val="12"/>
        </w:rPr>
        <mc:AlternateContent>
          <mc:Choice Requires="wps">
            <w:drawing>
              <wp:anchor distT="0" distB="0" distL="0" distR="0" allowOverlap="1" layoutInCell="1" locked="0" behindDoc="1" simplePos="0" relativeHeight="487587840">
                <wp:simplePos x="0" y="0"/>
                <wp:positionH relativeFrom="page">
                  <wp:posOffset>431800</wp:posOffset>
                </wp:positionH>
                <wp:positionV relativeFrom="paragraph">
                  <wp:posOffset>103000</wp:posOffset>
                </wp:positionV>
                <wp:extent cx="66929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10282pt;width:527pt;height:.1pt;mso-position-horizontal-relative:page;mso-position-vertical-relative:paragraph;z-index:-15728640;mso-wrap-distance-left:0;mso-wrap-distance-right:0" id="docshape4"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511" w:hRule="atLeast"/>
        </w:trPr>
        <w:tc>
          <w:tcPr>
            <w:tcW w:w="10315" w:type="dxa"/>
            <w:gridSpan w:val="3"/>
            <w:tcBorders>
              <w:left w:val="single" w:sz="6" w:space="0" w:color="00336A"/>
            </w:tcBorders>
          </w:tcPr>
          <w:p>
            <w:pPr>
              <w:pStyle w:val="TableParagraph"/>
              <w:spacing w:line="171" w:lineRule="exact" w:before="79"/>
              <w:ind w:left="7"/>
              <w:rPr>
                <w:rFonts w:ascii="Arial" w:hAnsi="Arial"/>
                <w:b/>
                <w:sz w:val="15"/>
              </w:rPr>
            </w:pPr>
            <w:r>
              <w:rPr>
                <w:rFonts w:ascii="Arial" w:hAnsi="Arial"/>
                <w:b/>
                <w:sz w:val="15"/>
              </w:rPr>
              <w:t>MÁRCIO ROBERTO TENÓRIO DE </w:t>
            </w:r>
            <w:r>
              <w:rPr>
                <w:rFonts w:ascii="Arial" w:hAnsi="Arial"/>
                <w:b/>
                <w:spacing w:val="-2"/>
                <w:sz w:val="15"/>
              </w:rPr>
              <w:t>ALBUQUERQUE</w:t>
            </w:r>
          </w:p>
          <w:p>
            <w:pPr>
              <w:pStyle w:val="TableParagraph"/>
              <w:spacing w:line="171" w:lineRule="exact"/>
              <w:ind w:left="7"/>
              <w:rPr>
                <w:sz w:val="15"/>
              </w:rPr>
            </w:pPr>
            <w:r>
              <w:rPr>
                <w:sz w:val="15"/>
              </w:rPr>
              <w:t>PROCURADOR-GERAL DE </w:t>
            </w:r>
            <w:r>
              <w:rPr>
                <w:spacing w:val="-2"/>
                <w:sz w:val="15"/>
              </w:rPr>
              <w:t>JUSTIÇA</w:t>
            </w:r>
          </w:p>
        </w:tc>
      </w:tr>
      <w:tr>
        <w:trPr>
          <w:trHeight w:val="258" w:hRule="atLeast"/>
        </w:trPr>
        <w:tc>
          <w:tcPr>
            <w:tcW w:w="3461" w:type="dxa"/>
            <w:tcBorders>
              <w:left w:val="single" w:sz="6" w:space="0" w:color="00336A"/>
            </w:tcBorders>
          </w:tcPr>
          <w:p>
            <w:pPr>
              <w:pStyle w:val="TableParagraph"/>
              <w:spacing w:line="153" w:lineRule="exact" w:before="85"/>
              <w:ind w:left="48" w:right="1"/>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7499776">
                      <wp:simplePos x="0" y="0"/>
                      <wp:positionH relativeFrom="column">
                        <wp:posOffset>0</wp:posOffset>
                      </wp:positionH>
                      <wp:positionV relativeFrom="paragraph">
                        <wp:posOffset>-329947</wp:posOffset>
                      </wp:positionV>
                      <wp:extent cx="6555105" cy="95758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555105" cy="957580"/>
                                <a:chExt cx="6555105" cy="957580"/>
                              </a:xfrm>
                            </wpg:grpSpPr>
                            <wps:wsp>
                              <wps:cNvPr id="8" name="Graphic 8"/>
                              <wps:cNvSpPr/>
                              <wps:spPr>
                                <a:xfrm>
                                  <a:off x="0" y="4762"/>
                                  <a:ext cx="6550025" cy="948055"/>
                                </a:xfrm>
                                <a:custGeom>
                                  <a:avLst/>
                                  <a:gdLst/>
                                  <a:ahLst/>
                                  <a:cxnLst/>
                                  <a:rect l="l" t="t" r="r" b="b"/>
                                  <a:pathLst>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5.980097pt;width:516.15pt;height:75.4pt;mso-position-horizontal-relative:column;mso-position-vertical-relative:paragraph;z-index:-15816704" id="docshapegroup5" coordorigin="0,-520" coordsize="10323,1508">
                      <v:shape style="position:absolute;left:0;top:-513;width:10315;height:1493" id="docshape6" coordorigin="0,-512" coordsize="10315,1493" path="m0,980l10315,980m10315,980l10315,-512m10315,-512l0,-512e" filled="false" stroked="true" strokeweight=".75pt" strokecolor="#00336a">
                        <v:path arrowok="t"/>
                        <v:stroke dashstyle="solid"/>
                      </v:shape>
                      <w10:wrap type="none"/>
                    </v:group>
                  </w:pict>
                </mc:Fallback>
              </mc:AlternateContent>
            </w:r>
            <w:r>
              <w:rPr>
                <w:rFonts w:ascii="Arial" w:hAnsi="Arial"/>
                <w:b/>
                <w:sz w:val="15"/>
              </w:rPr>
              <w:t>LEAN ANTÔNIO FERREIRA DE </w:t>
            </w:r>
            <w:r>
              <w:rPr>
                <w:rFonts w:ascii="Arial" w:hAnsi="Arial"/>
                <w:b/>
                <w:spacing w:val="-2"/>
                <w:sz w:val="15"/>
              </w:rPr>
              <w:t>ARAÚJO</w:t>
            </w:r>
          </w:p>
        </w:tc>
        <w:tc>
          <w:tcPr>
            <w:tcW w:w="3572" w:type="dxa"/>
          </w:tcPr>
          <w:p>
            <w:pPr>
              <w:pStyle w:val="TableParagraph"/>
              <w:spacing w:line="153" w:lineRule="exact" w:before="85"/>
              <w:ind w:right="183"/>
              <w:rPr>
                <w:rFonts w:ascii="Arial" w:hAnsi="Arial"/>
                <w:b/>
                <w:sz w:val="15"/>
              </w:rPr>
            </w:pPr>
            <w:r>
              <w:rPr>
                <w:rFonts w:ascii="Arial" w:hAnsi="Arial"/>
                <w:b/>
                <w:sz w:val="15"/>
              </w:rPr>
              <w:t>SÉRGIO ROCHA CAVALCANTI </w:t>
            </w:r>
            <w:r>
              <w:rPr>
                <w:rFonts w:ascii="Arial" w:hAnsi="Arial"/>
                <w:b/>
                <w:spacing w:val="-4"/>
                <w:sz w:val="15"/>
              </w:rPr>
              <w:t>JUCÁ</w:t>
            </w:r>
          </w:p>
        </w:tc>
        <w:tc>
          <w:tcPr>
            <w:tcW w:w="3282" w:type="dxa"/>
          </w:tcPr>
          <w:p>
            <w:pPr>
              <w:pStyle w:val="TableParagraph"/>
              <w:spacing w:line="153" w:lineRule="exact" w:before="85"/>
              <w:ind w:right="223"/>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461" w:type="dxa"/>
            <w:tcBorders>
              <w:left w:val="single" w:sz="6" w:space="0" w:color="00336A"/>
            </w:tcBorders>
          </w:tcPr>
          <w:p>
            <w:pPr>
              <w:pStyle w:val="TableParagraph"/>
              <w:spacing w:line="168" w:lineRule="exact"/>
              <w:ind w:left="48"/>
              <w:rPr>
                <w:sz w:val="15"/>
              </w:rPr>
            </w:pPr>
            <w:r>
              <w:rPr>
                <w:sz w:val="15"/>
              </w:rPr>
              <w:t>Subprocurador-Geral Administrativo-</w:t>
            </w:r>
            <w:r>
              <w:rPr>
                <w:spacing w:val="-2"/>
                <w:sz w:val="15"/>
              </w:rPr>
              <w:t>Institucional</w:t>
            </w:r>
          </w:p>
        </w:tc>
        <w:tc>
          <w:tcPr>
            <w:tcW w:w="3572" w:type="dxa"/>
          </w:tcPr>
          <w:p>
            <w:pPr>
              <w:pStyle w:val="TableParagraph"/>
              <w:spacing w:line="168" w:lineRule="exact"/>
              <w:ind w:left="1" w:right="183"/>
              <w:rPr>
                <w:sz w:val="15"/>
              </w:rPr>
            </w:pPr>
            <w:r>
              <w:rPr>
                <w:sz w:val="15"/>
              </w:rPr>
              <w:t>Subprocurador-Geral </w:t>
            </w:r>
            <w:r>
              <w:rPr>
                <w:spacing w:val="-2"/>
                <w:sz w:val="15"/>
              </w:rPr>
              <w:t>Judicial</w:t>
            </w:r>
          </w:p>
        </w:tc>
        <w:tc>
          <w:tcPr>
            <w:tcW w:w="3282" w:type="dxa"/>
          </w:tcPr>
          <w:p>
            <w:pPr>
              <w:pStyle w:val="TableParagraph"/>
              <w:spacing w:line="168" w:lineRule="exact"/>
              <w:ind w:right="223"/>
              <w:rPr>
                <w:sz w:val="15"/>
              </w:rPr>
            </w:pPr>
            <w:r>
              <w:rPr>
                <w:sz w:val="15"/>
              </w:rPr>
              <w:t>Subprocurador-Geral </w:t>
            </w:r>
            <w:r>
              <w:rPr>
                <w:spacing w:val="-2"/>
                <w:sz w:val="15"/>
              </w:rPr>
              <w:t>Recursal</w:t>
            </w:r>
          </w:p>
        </w:tc>
      </w:tr>
      <w:tr>
        <w:trPr>
          <w:trHeight w:val="501" w:hRule="atLeast"/>
        </w:trPr>
        <w:tc>
          <w:tcPr>
            <w:tcW w:w="10315" w:type="dxa"/>
            <w:gridSpan w:val="3"/>
            <w:tcBorders>
              <w:lef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11"/>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344" w:hRule="atLeast"/>
        </w:trPr>
        <w:tc>
          <w:tcPr>
            <w:tcW w:w="3461" w:type="dxa"/>
            <w:vMerge w:val="restart"/>
            <w:tcBorders>
              <w:top w:val="single" w:sz="6" w:space="0" w:color="00336A"/>
              <w:left w:val="single" w:sz="6" w:space="0" w:color="00336A"/>
            </w:tcBorders>
          </w:tcPr>
          <w:p>
            <w:pPr>
              <w:pStyle w:val="TableParagraph"/>
              <w:spacing w:line="240" w:lineRule="auto"/>
              <w:jc w:val="left"/>
              <w:rPr>
                <w:rFonts w:ascii="Times New Roman"/>
                <w:sz w:val="16"/>
              </w:rPr>
            </w:pPr>
          </w:p>
        </w:tc>
        <w:tc>
          <w:tcPr>
            <w:tcW w:w="3572" w:type="dxa"/>
            <w:tcBorders>
              <w:top w:val="single" w:sz="6" w:space="0" w:color="00336A"/>
            </w:tcBorders>
          </w:tcPr>
          <w:p>
            <w:pPr>
              <w:pStyle w:val="TableParagraph"/>
              <w:spacing w:line="168" w:lineRule="exact"/>
              <w:ind w:left="21" w:right="183"/>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22" w:right="183"/>
              <w:rPr>
                <w:sz w:val="15"/>
              </w:rPr>
            </w:pPr>
            <w:r>
              <w:rPr>
                <w:sz w:val="15"/>
              </w:rPr>
              <w:t>Márcio Roberto Tenório de </w:t>
            </w:r>
            <w:r>
              <w:rPr>
                <w:spacing w:val="-2"/>
                <w:sz w:val="15"/>
              </w:rPr>
              <w:t>Albuquerque</w:t>
            </w:r>
          </w:p>
        </w:tc>
        <w:tc>
          <w:tcPr>
            <w:tcW w:w="3282" w:type="dxa"/>
            <w:vMerge w:val="restart"/>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461" w:type="dxa"/>
            <w:vMerge/>
            <w:tcBorders>
              <w:top w:val="nil"/>
              <w:left w:val="single" w:sz="6" w:space="0" w:color="00336A"/>
            </w:tcBorders>
          </w:tcPr>
          <w:p>
            <w:pPr>
              <w:rPr>
                <w:sz w:val="2"/>
                <w:szCs w:val="2"/>
              </w:rPr>
            </w:pPr>
          </w:p>
        </w:tc>
        <w:tc>
          <w:tcPr>
            <w:tcW w:w="3572" w:type="dxa"/>
          </w:tcPr>
          <w:p>
            <w:pPr>
              <w:pStyle w:val="TableParagraph"/>
              <w:spacing w:line="240" w:lineRule="auto" w:before="1"/>
              <w:ind w:left="21" w:right="183"/>
              <w:rPr>
                <w:rFonts w:ascii="Arial"/>
                <w:b/>
                <w:sz w:val="15"/>
              </w:rPr>
            </w:pPr>
            <w:r>
              <w:rPr>
                <w:rFonts w:ascii="Arial"/>
                <w:b/>
                <w:spacing w:val="-2"/>
                <w:sz w:val="15"/>
              </w:rPr>
              <w:t>Presidente</w:t>
            </w:r>
          </w:p>
        </w:tc>
        <w:tc>
          <w:tcPr>
            <w:tcW w:w="3282" w:type="dxa"/>
            <w:vMerge/>
            <w:tcBorders>
              <w:top w:val="nil"/>
              <w:right w:val="single" w:sz="6" w:space="0" w:color="00336A"/>
            </w:tcBorders>
          </w:tcPr>
          <w:p>
            <w:pPr>
              <w:rPr>
                <w:sz w:val="2"/>
                <w:szCs w:val="2"/>
              </w:rPr>
            </w:pPr>
          </w:p>
        </w:tc>
      </w:tr>
      <w:tr>
        <w:trPr>
          <w:trHeight w:val="258" w:hRule="atLeast"/>
        </w:trPr>
        <w:tc>
          <w:tcPr>
            <w:tcW w:w="3461" w:type="dxa"/>
            <w:tcBorders>
              <w:left w:val="single" w:sz="6" w:space="0" w:color="00336A"/>
            </w:tcBorders>
          </w:tcPr>
          <w:p>
            <w:pPr>
              <w:pStyle w:val="TableParagraph"/>
              <w:spacing w:line="153" w:lineRule="exact" w:before="85"/>
              <w:ind w:left="48" w:right="23"/>
              <w:rPr>
                <w:sz w:val="15"/>
              </w:rPr>
            </w:pPr>
            <w:r>
              <w:rPr>
                <w:sz w:val="15"/>
              </w:rPr>
              <w:t>Sérgio Rocha Cavalcanti </w:t>
            </w:r>
            <w:r>
              <w:rPr>
                <w:spacing w:val="-4"/>
                <w:sz w:val="15"/>
              </w:rPr>
              <w:t>Jucá</w:t>
            </w:r>
          </w:p>
        </w:tc>
        <w:tc>
          <w:tcPr>
            <w:tcW w:w="3572" w:type="dxa"/>
          </w:tcPr>
          <w:p>
            <w:pPr>
              <w:pStyle w:val="TableParagraph"/>
              <w:spacing w:line="153" w:lineRule="exact" w:before="85"/>
              <w:ind w:right="871"/>
              <w:jc w:val="right"/>
              <w:rPr>
                <w:sz w:val="15"/>
              </w:rPr>
            </w:pPr>
            <w:r>
              <w:rPr>
                <w:sz w:val="15"/>
              </w:rPr>
              <w:t>Walber José Valente de </w:t>
            </w:r>
            <w:r>
              <w:rPr>
                <w:spacing w:val="-4"/>
                <w:sz w:val="15"/>
              </w:rPr>
              <w:t>Lima</w:t>
            </w:r>
          </w:p>
        </w:tc>
        <w:tc>
          <w:tcPr>
            <w:tcW w:w="3282" w:type="dxa"/>
            <w:tcBorders>
              <w:right w:val="single" w:sz="6" w:space="0" w:color="00336A"/>
            </w:tcBorders>
          </w:tcPr>
          <w:p>
            <w:pPr>
              <w:pStyle w:val="TableParagraph"/>
              <w:spacing w:line="153" w:lineRule="exact" w:before="85"/>
              <w:ind w:left="1" w:right="142"/>
              <w:rPr>
                <w:sz w:val="15"/>
              </w:rPr>
            </w:pPr>
            <w:r>
              <w:rPr>
                <w:sz w:val="15"/>
              </w:rPr>
              <w:t>Lean Antônio Ferreira de </w:t>
            </w:r>
            <w:r>
              <w:rPr>
                <w:spacing w:val="-2"/>
                <w:sz w:val="15"/>
              </w:rPr>
              <w:t>Araújo</w:t>
            </w:r>
          </w:p>
        </w:tc>
      </w:tr>
      <w:tr>
        <w:trPr>
          <w:trHeight w:val="168" w:hRule="atLeast"/>
        </w:trPr>
        <w:tc>
          <w:tcPr>
            <w:tcW w:w="3461" w:type="dxa"/>
            <w:tcBorders>
              <w:left w:val="single" w:sz="6" w:space="0" w:color="00336A"/>
            </w:tcBorders>
          </w:tcPr>
          <w:p>
            <w:pPr>
              <w:pStyle w:val="TableParagraph"/>
              <w:ind w:left="48" w:right="23"/>
              <w:rPr>
                <w:sz w:val="15"/>
              </w:rPr>
            </w:pPr>
            <w:r>
              <w:rPr>
                <w:sz w:val="15"/>
              </w:rPr>
              <w:t>Dennis Lima </w:t>
            </w:r>
            <w:r>
              <w:rPr>
                <w:spacing w:val="-2"/>
                <w:sz w:val="15"/>
              </w:rPr>
              <w:t>Calheiros</w:t>
            </w:r>
          </w:p>
        </w:tc>
        <w:tc>
          <w:tcPr>
            <w:tcW w:w="3572" w:type="dxa"/>
          </w:tcPr>
          <w:p>
            <w:pPr>
              <w:pStyle w:val="TableParagraph"/>
              <w:ind w:left="1022"/>
              <w:jc w:val="left"/>
              <w:rPr>
                <w:sz w:val="15"/>
              </w:rPr>
            </w:pPr>
            <w:r>
              <w:rPr>
                <w:sz w:val="15"/>
              </w:rPr>
              <w:t>Vicente Felix </w:t>
            </w:r>
            <w:r>
              <w:rPr>
                <w:spacing w:val="-2"/>
                <w:sz w:val="15"/>
              </w:rPr>
              <w:t>Correia</w:t>
            </w:r>
          </w:p>
        </w:tc>
        <w:tc>
          <w:tcPr>
            <w:tcW w:w="3282" w:type="dxa"/>
            <w:tcBorders>
              <w:right w:val="single" w:sz="6" w:space="0" w:color="00336A"/>
            </w:tcBorders>
          </w:tcPr>
          <w:p>
            <w:pPr>
              <w:pStyle w:val="TableParagraph"/>
              <w:ind w:left="1" w:right="142"/>
              <w:rPr>
                <w:sz w:val="15"/>
              </w:rPr>
            </w:pPr>
            <w:r>
              <w:rPr>
                <w:sz w:val="15"/>
              </w:rPr>
              <w:t>Eduardo Tavares </w:t>
            </w:r>
            <w:r>
              <w:rPr>
                <w:spacing w:val="-2"/>
                <w:sz w:val="15"/>
              </w:rPr>
              <w:t>Mendes</w:t>
            </w:r>
          </w:p>
        </w:tc>
      </w:tr>
      <w:tr>
        <w:trPr>
          <w:trHeight w:val="168" w:hRule="atLeast"/>
        </w:trPr>
        <w:tc>
          <w:tcPr>
            <w:tcW w:w="3461" w:type="dxa"/>
            <w:tcBorders>
              <w:left w:val="single" w:sz="6" w:space="0" w:color="00336A"/>
            </w:tcBorders>
          </w:tcPr>
          <w:p>
            <w:pPr>
              <w:pStyle w:val="TableParagraph"/>
              <w:ind w:left="48" w:right="23"/>
              <w:rPr>
                <w:sz w:val="15"/>
              </w:rPr>
            </w:pPr>
            <w:r>
              <w:rPr>
                <w:sz w:val="15"/>
              </w:rPr>
              <w:t>Márcio Roberto Tenório de </w:t>
            </w:r>
            <w:r>
              <w:rPr>
                <w:spacing w:val="-2"/>
                <w:sz w:val="15"/>
              </w:rPr>
              <w:t>Albuquerque</w:t>
            </w:r>
          </w:p>
        </w:tc>
        <w:tc>
          <w:tcPr>
            <w:tcW w:w="3572" w:type="dxa"/>
          </w:tcPr>
          <w:p>
            <w:pPr>
              <w:pStyle w:val="TableParagraph"/>
              <w:ind w:left="1039"/>
              <w:jc w:val="left"/>
              <w:rPr>
                <w:sz w:val="15"/>
              </w:rPr>
            </w:pPr>
            <w:r>
              <w:rPr>
                <w:sz w:val="15"/>
              </w:rPr>
              <w:t>Marcos Barros </w:t>
            </w:r>
            <w:r>
              <w:rPr>
                <w:spacing w:val="-4"/>
                <w:sz w:val="15"/>
              </w:rPr>
              <w:t>Méro</w:t>
            </w:r>
          </w:p>
        </w:tc>
        <w:tc>
          <w:tcPr>
            <w:tcW w:w="3282" w:type="dxa"/>
            <w:tcBorders>
              <w:right w:val="single" w:sz="6" w:space="0" w:color="00336A"/>
            </w:tcBorders>
          </w:tcPr>
          <w:p>
            <w:pPr>
              <w:pStyle w:val="TableParagraph"/>
              <w:ind w:right="142"/>
              <w:rPr>
                <w:sz w:val="15"/>
              </w:rPr>
            </w:pPr>
            <w:r>
              <w:rPr>
                <w:sz w:val="15"/>
              </w:rPr>
              <w:t>Valter José de Omena </w:t>
            </w:r>
            <w:r>
              <w:rPr>
                <w:spacing w:val="-2"/>
                <w:sz w:val="15"/>
              </w:rPr>
              <w:t>Acioly</w:t>
            </w:r>
          </w:p>
        </w:tc>
      </w:tr>
      <w:tr>
        <w:trPr>
          <w:trHeight w:val="168" w:hRule="atLeast"/>
        </w:trPr>
        <w:tc>
          <w:tcPr>
            <w:tcW w:w="3461" w:type="dxa"/>
            <w:tcBorders>
              <w:left w:val="single" w:sz="6" w:space="0" w:color="00336A"/>
            </w:tcBorders>
          </w:tcPr>
          <w:p>
            <w:pPr>
              <w:pStyle w:val="TableParagraph"/>
              <w:ind w:left="48" w:right="24"/>
              <w:rPr>
                <w:sz w:val="15"/>
              </w:rPr>
            </w:pPr>
            <w:r>
              <w:rPr>
                <w:sz w:val="15"/>
              </w:rPr>
              <w:t>Denise Guimarães de </w:t>
            </w:r>
            <w:r>
              <w:rPr>
                <w:spacing w:val="-2"/>
                <w:sz w:val="15"/>
              </w:rPr>
              <w:t>Oliveira</w:t>
            </w:r>
          </w:p>
        </w:tc>
        <w:tc>
          <w:tcPr>
            <w:tcW w:w="3572" w:type="dxa"/>
          </w:tcPr>
          <w:p>
            <w:pPr>
              <w:pStyle w:val="TableParagraph"/>
              <w:ind w:right="929"/>
              <w:jc w:val="right"/>
              <w:rPr>
                <w:sz w:val="15"/>
              </w:rPr>
            </w:pPr>
            <w:r>
              <w:rPr>
                <w:sz w:val="15"/>
              </w:rPr>
              <w:t>Maurício André Barros </w:t>
            </w:r>
            <w:r>
              <w:rPr>
                <w:spacing w:val="-2"/>
                <w:sz w:val="15"/>
              </w:rPr>
              <w:t>Pitta</w:t>
            </w:r>
          </w:p>
        </w:tc>
        <w:tc>
          <w:tcPr>
            <w:tcW w:w="3282" w:type="dxa"/>
            <w:tcBorders>
              <w:right w:val="single" w:sz="6" w:space="0" w:color="00336A"/>
            </w:tcBorders>
          </w:tcPr>
          <w:p>
            <w:pPr>
              <w:pStyle w:val="TableParagraph"/>
              <w:ind w:right="142"/>
              <w:rPr>
                <w:sz w:val="15"/>
              </w:rPr>
            </w:pPr>
            <w:r>
              <w:rPr>
                <w:sz w:val="15"/>
              </w:rPr>
              <w:t>Isaac Sandes </w:t>
            </w:r>
            <w:r>
              <w:rPr>
                <w:spacing w:val="-4"/>
                <w:sz w:val="15"/>
              </w:rPr>
              <w:t>Dias</w:t>
            </w:r>
          </w:p>
        </w:tc>
      </w:tr>
      <w:tr>
        <w:trPr>
          <w:trHeight w:val="366" w:hRule="atLeast"/>
        </w:trPr>
        <w:tc>
          <w:tcPr>
            <w:tcW w:w="3461" w:type="dxa"/>
            <w:tcBorders>
              <w:left w:val="single" w:sz="6" w:space="0" w:color="00336A"/>
              <w:bottom w:val="single" w:sz="6" w:space="0" w:color="00336A"/>
            </w:tcBorders>
          </w:tcPr>
          <w:p>
            <w:pPr>
              <w:pStyle w:val="TableParagraph"/>
              <w:spacing w:line="166" w:lineRule="exact"/>
              <w:ind w:left="48" w:right="24"/>
              <w:rPr>
                <w:sz w:val="15"/>
              </w:rPr>
            </w:pPr>
            <w:r>
              <w:rPr>
                <w:sz w:val="15"/>
              </w:rPr>
              <w:t>Sérgio Amaral </w:t>
            </w:r>
            <w:r>
              <w:rPr>
                <w:spacing w:val="-2"/>
                <w:sz w:val="15"/>
              </w:rPr>
              <w:t>Scala</w:t>
            </w:r>
          </w:p>
          <w:p>
            <w:pPr>
              <w:pStyle w:val="TableParagraph"/>
              <w:spacing w:line="171" w:lineRule="exact"/>
              <w:ind w:left="48" w:right="24"/>
              <w:rPr>
                <w:sz w:val="15"/>
              </w:rPr>
            </w:pPr>
            <w:r>
              <w:rPr>
                <w:sz w:val="15"/>
              </w:rPr>
              <w:t>Kícia Oliveira Cabral de </w:t>
            </w:r>
            <w:r>
              <w:rPr>
                <w:spacing w:val="-2"/>
                <w:sz w:val="15"/>
              </w:rPr>
              <w:t>Vasconcellos</w:t>
            </w:r>
          </w:p>
        </w:tc>
        <w:tc>
          <w:tcPr>
            <w:tcW w:w="3572" w:type="dxa"/>
            <w:tcBorders>
              <w:bottom w:val="single" w:sz="6" w:space="0" w:color="00336A"/>
            </w:tcBorders>
          </w:tcPr>
          <w:p>
            <w:pPr>
              <w:pStyle w:val="TableParagraph"/>
              <w:spacing w:line="235" w:lineRule="auto"/>
              <w:ind w:left="747" w:right="872" w:firstLine="58"/>
              <w:jc w:val="left"/>
              <w:rPr>
                <w:sz w:val="15"/>
              </w:rPr>
            </w:pPr>
            <w:r>
              <w:rPr>
                <w:sz w:val="15"/>
              </w:rPr>
              <w:t>Helder de Arthur Jucá Filho Neide Maria Camelo da </w:t>
            </w:r>
            <w:r>
              <w:rPr>
                <w:spacing w:val="-2"/>
                <w:sz w:val="15"/>
              </w:rPr>
              <w:t>Silva</w:t>
            </w:r>
          </w:p>
        </w:tc>
        <w:tc>
          <w:tcPr>
            <w:tcW w:w="3282" w:type="dxa"/>
            <w:tcBorders>
              <w:bottom w:val="single" w:sz="6" w:space="0" w:color="00336A"/>
              <w:right w:val="single" w:sz="6" w:space="0" w:color="00336A"/>
            </w:tcBorders>
          </w:tcPr>
          <w:p>
            <w:pPr>
              <w:pStyle w:val="TableParagraph"/>
              <w:spacing w:line="168" w:lineRule="exact"/>
              <w:ind w:left="1" w:right="142"/>
              <w:rPr>
                <w:sz w:val="15"/>
              </w:rPr>
            </w:pPr>
            <w:r>
              <w:rPr>
                <w:sz w:val="15"/>
              </w:rPr>
              <w:t>Maria Marluce Caldas </w:t>
            </w:r>
            <w:r>
              <w:rPr>
                <w:spacing w:val="-2"/>
                <w:sz w:val="15"/>
              </w:rPr>
              <w:t>Bezerra</w:t>
            </w:r>
          </w:p>
        </w:tc>
      </w:tr>
    </w:tbl>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8352">
                <wp:simplePos x="0" y="0"/>
                <wp:positionH relativeFrom="page">
                  <wp:posOffset>1816100</wp:posOffset>
                </wp:positionH>
                <wp:positionV relativeFrom="paragraph">
                  <wp:posOffset>207911</wp:posOffset>
                </wp:positionV>
                <wp:extent cx="3924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370977pt;width:309pt;height:.1pt;mso-position-horizontal-relative:page;mso-position-vertical-relative:paragraph;z-index:-15728128;mso-wrap-distance-left:0;mso-wrap-distance-right:0" id="docshape7" coordorigin="2860,327" coordsize="6180,0" path="m2860,327l9040,327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43956</wp:posOffset>
                </wp:positionV>
                <wp:extent cx="39243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61172pt;width:309pt;height:.1pt;mso-position-horizontal-relative:page;mso-position-vertical-relative:paragraph;z-index:-15727616;mso-wrap-distance-left:0;mso-wrap-distance-right:0" id="docshape8"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rPr>
          <w:rFonts w:ascii="Arial"/>
          <w:b/>
        </w:rPr>
      </w:pPr>
    </w:p>
    <w:p>
      <w:pPr>
        <w:pStyle w:val="BodyText"/>
        <w:ind w:left="234"/>
      </w:pPr>
      <w:r>
        <w:rPr/>
        <w:t>ATO PGJ Nº </w:t>
      </w:r>
      <w:r>
        <w:rPr>
          <w:spacing w:val="-2"/>
        </w:rPr>
        <w:t>21/2023</w:t>
      </w:r>
    </w:p>
    <w:p>
      <w:pPr>
        <w:pStyle w:val="BodyText"/>
        <w:spacing w:before="18"/>
      </w:pPr>
    </w:p>
    <w:p>
      <w:pPr>
        <w:pStyle w:val="BodyText"/>
        <w:spacing w:line="249" w:lineRule="auto"/>
        <w:ind w:left="234"/>
      </w:pPr>
      <w:r>
        <w:rPr/>
        <w:t>Disciplina,</w:t>
      </w:r>
      <w:r>
        <w:rPr>
          <w:spacing w:val="15"/>
        </w:rPr>
        <w:t> </w:t>
      </w:r>
      <w:r>
        <w:rPr/>
        <w:t>para</w:t>
      </w:r>
      <w:r>
        <w:rPr>
          <w:spacing w:val="15"/>
        </w:rPr>
        <w:t> </w:t>
      </w:r>
      <w:r>
        <w:rPr/>
        <w:t>o</w:t>
      </w:r>
      <w:r>
        <w:rPr>
          <w:spacing w:val="15"/>
        </w:rPr>
        <w:t> </w:t>
      </w:r>
      <w:r>
        <w:rPr/>
        <w:t>exercício</w:t>
      </w:r>
      <w:r>
        <w:rPr>
          <w:spacing w:val="15"/>
        </w:rPr>
        <w:t> </w:t>
      </w:r>
      <w:r>
        <w:rPr/>
        <w:t>2023,</w:t>
      </w:r>
      <w:r>
        <w:rPr>
          <w:spacing w:val="15"/>
        </w:rPr>
        <w:t> </w:t>
      </w:r>
      <w:r>
        <w:rPr/>
        <w:t>a</w:t>
      </w:r>
      <w:r>
        <w:rPr>
          <w:spacing w:val="15"/>
        </w:rPr>
        <w:t> </w:t>
      </w:r>
      <w:r>
        <w:rPr/>
        <w:t>aplicação</w:t>
      </w:r>
      <w:r>
        <w:rPr>
          <w:spacing w:val="15"/>
        </w:rPr>
        <w:t> </w:t>
      </w:r>
      <w:r>
        <w:rPr/>
        <w:t>da</w:t>
      </w:r>
      <w:r>
        <w:rPr>
          <w:spacing w:val="15"/>
        </w:rPr>
        <w:t> </w:t>
      </w:r>
      <w:r>
        <w:rPr/>
        <w:t>Lei</w:t>
      </w:r>
      <w:r>
        <w:rPr>
          <w:spacing w:val="15"/>
        </w:rPr>
        <w:t> </w:t>
      </w:r>
      <w:r>
        <w:rPr/>
        <w:t>Estadual</w:t>
      </w:r>
      <w:r>
        <w:rPr>
          <w:spacing w:val="15"/>
        </w:rPr>
        <w:t> </w:t>
      </w:r>
      <w:r>
        <w:rPr/>
        <w:t>nº</w:t>
      </w:r>
      <w:r>
        <w:rPr>
          <w:spacing w:val="15"/>
        </w:rPr>
        <w:t> </w:t>
      </w:r>
      <w:r>
        <w:rPr/>
        <w:t>8.367,</w:t>
      </w:r>
      <w:r>
        <w:rPr>
          <w:spacing w:val="15"/>
        </w:rPr>
        <w:t> </w:t>
      </w:r>
      <w:r>
        <w:rPr/>
        <w:t>de</w:t>
      </w:r>
      <w:r>
        <w:rPr>
          <w:spacing w:val="15"/>
        </w:rPr>
        <w:t> </w:t>
      </w:r>
      <w:r>
        <w:rPr/>
        <w:t>28</w:t>
      </w:r>
      <w:r>
        <w:rPr>
          <w:spacing w:val="15"/>
        </w:rPr>
        <w:t> </w:t>
      </w:r>
      <w:r>
        <w:rPr/>
        <w:t>de</w:t>
      </w:r>
      <w:r>
        <w:rPr>
          <w:spacing w:val="15"/>
        </w:rPr>
        <w:t> </w:t>
      </w:r>
      <w:r>
        <w:rPr/>
        <w:t>dezembro</w:t>
      </w:r>
      <w:r>
        <w:rPr>
          <w:spacing w:val="15"/>
        </w:rPr>
        <w:t> </w:t>
      </w:r>
      <w:r>
        <w:rPr/>
        <w:t>de</w:t>
      </w:r>
      <w:r>
        <w:rPr>
          <w:spacing w:val="15"/>
        </w:rPr>
        <w:t> </w:t>
      </w:r>
      <w:r>
        <w:rPr/>
        <w:t>2020,</w:t>
      </w:r>
      <w:r>
        <w:rPr>
          <w:spacing w:val="15"/>
        </w:rPr>
        <w:t> </w:t>
      </w:r>
      <w:r>
        <w:rPr/>
        <w:t>no</w:t>
      </w:r>
      <w:r>
        <w:rPr>
          <w:spacing w:val="15"/>
        </w:rPr>
        <w:t> </w:t>
      </w:r>
      <w:r>
        <w:rPr/>
        <w:t>âmbito</w:t>
      </w:r>
      <w:r>
        <w:rPr>
          <w:spacing w:val="15"/>
        </w:rPr>
        <w:t> </w:t>
      </w:r>
      <w:r>
        <w:rPr/>
        <w:t>do</w:t>
      </w:r>
      <w:r>
        <w:rPr>
          <w:spacing w:val="15"/>
        </w:rPr>
        <w:t> </w:t>
      </w:r>
      <w:r>
        <w:rPr/>
        <w:t>Ministério </w:t>
      </w:r>
      <w:r>
        <w:rPr>
          <w:spacing w:val="-2"/>
        </w:rPr>
        <w:t>Público.</w:t>
      </w:r>
    </w:p>
    <w:p>
      <w:pPr>
        <w:pStyle w:val="BodyText"/>
      </w:pPr>
    </w:p>
    <w:p>
      <w:pPr>
        <w:pStyle w:val="BodyText"/>
        <w:spacing w:before="20"/>
      </w:pPr>
    </w:p>
    <w:p>
      <w:pPr>
        <w:pStyle w:val="BodyText"/>
        <w:spacing w:line="249" w:lineRule="auto"/>
        <w:ind w:left="234" w:right="226"/>
        <w:jc w:val="both"/>
      </w:pPr>
      <w:r>
        <w:rPr/>
        <w:t>O PROCURADOR-GERAL DE JUSTIÇA DO ESTADO DE ALAGOAS em exercício, no uso das atribuições que lhe são conferidas pela Lei Complementar Estadual n. 15, de 22 de novembro de 1996, ao considerar:</w:t>
      </w:r>
    </w:p>
    <w:p>
      <w:pPr>
        <w:pStyle w:val="ListParagraph"/>
        <w:numPr>
          <w:ilvl w:val="0"/>
          <w:numId w:val="1"/>
        </w:numPr>
        <w:tabs>
          <w:tab w:pos="334" w:val="left" w:leader="none"/>
        </w:tabs>
        <w:spacing w:line="240" w:lineRule="auto" w:before="1" w:after="0"/>
        <w:ind w:left="334" w:right="0" w:hanging="100"/>
        <w:jc w:val="both"/>
        <w:rPr>
          <w:sz w:val="18"/>
        </w:rPr>
      </w:pPr>
      <w:r>
        <w:rPr>
          <w:sz w:val="18"/>
        </w:rPr>
        <w:t>– o disposto na Lei Estadual nº 8.367, de 28 de dezembro de </w:t>
      </w:r>
      <w:r>
        <w:rPr>
          <w:spacing w:val="-2"/>
          <w:sz w:val="18"/>
        </w:rPr>
        <w:t>2020;</w:t>
      </w:r>
    </w:p>
    <w:p>
      <w:pPr>
        <w:pStyle w:val="ListParagraph"/>
        <w:numPr>
          <w:ilvl w:val="0"/>
          <w:numId w:val="1"/>
        </w:numPr>
        <w:tabs>
          <w:tab w:pos="395" w:val="left" w:leader="none"/>
        </w:tabs>
        <w:spacing w:line="249" w:lineRule="auto" w:before="9" w:after="0"/>
        <w:ind w:left="234" w:right="208" w:firstLine="0"/>
        <w:jc w:val="both"/>
        <w:rPr>
          <w:sz w:val="18"/>
        </w:rPr>
      </w:pPr>
      <w:r>
        <w:rPr>
          <w:sz w:val="18"/>
        </w:rPr>
        <w:t>– a necessidade de aplicar a lei, com a observância dos princípios insculpidos no caput do art. 37 da Constituição Federal, dentro das possibilidades orçamentárias do Ministério Público do Estado de Alagoas;</w:t>
      </w:r>
    </w:p>
    <w:p>
      <w:pPr>
        <w:pStyle w:val="ListParagraph"/>
        <w:numPr>
          <w:ilvl w:val="0"/>
          <w:numId w:val="1"/>
        </w:numPr>
        <w:tabs>
          <w:tab w:pos="463" w:val="left" w:leader="none"/>
        </w:tabs>
        <w:spacing w:line="249" w:lineRule="auto" w:before="2" w:after="0"/>
        <w:ind w:left="234" w:right="226" w:firstLine="0"/>
        <w:jc w:val="both"/>
        <w:rPr>
          <w:sz w:val="18"/>
        </w:rPr>
      </w:pPr>
      <w:r>
        <w:rPr>
          <w:sz w:val="18"/>
        </w:rPr>
        <w:t>– que as disposições da Lei Estadual nº 8.367, de 28 de dezembro de 2020 devem ser levadas a efeito, a critério do Procurador-Geral</w:t>
      </w:r>
      <w:r>
        <w:rPr>
          <w:spacing w:val="-2"/>
          <w:sz w:val="18"/>
        </w:rPr>
        <w:t> </w:t>
      </w:r>
      <w:r>
        <w:rPr>
          <w:sz w:val="18"/>
        </w:rPr>
        <w:t>de</w:t>
      </w:r>
      <w:r>
        <w:rPr>
          <w:spacing w:val="-2"/>
          <w:sz w:val="18"/>
        </w:rPr>
        <w:t> </w:t>
      </w:r>
      <w:r>
        <w:rPr>
          <w:sz w:val="18"/>
        </w:rPr>
        <w:t>Justiça,</w:t>
      </w:r>
      <w:r>
        <w:rPr>
          <w:spacing w:val="-2"/>
          <w:sz w:val="18"/>
        </w:rPr>
        <w:t> </w:t>
      </w:r>
      <w:r>
        <w:rPr>
          <w:sz w:val="18"/>
        </w:rPr>
        <w:t>de</w:t>
      </w:r>
      <w:r>
        <w:rPr>
          <w:spacing w:val="-2"/>
          <w:sz w:val="18"/>
        </w:rPr>
        <w:t> </w:t>
      </w:r>
      <w:r>
        <w:rPr>
          <w:sz w:val="18"/>
        </w:rPr>
        <w:t>modo</w:t>
      </w:r>
      <w:r>
        <w:rPr>
          <w:spacing w:val="-2"/>
          <w:sz w:val="18"/>
        </w:rPr>
        <w:t> </w:t>
      </w:r>
      <w:r>
        <w:rPr>
          <w:sz w:val="18"/>
        </w:rPr>
        <w:t>razoável,</w:t>
      </w:r>
      <w:r>
        <w:rPr>
          <w:spacing w:val="-2"/>
          <w:sz w:val="18"/>
        </w:rPr>
        <w:t> </w:t>
      </w:r>
      <w:r>
        <w:rPr>
          <w:sz w:val="18"/>
        </w:rPr>
        <w:t>proporcional</w:t>
      </w:r>
      <w:r>
        <w:rPr>
          <w:spacing w:val="-2"/>
          <w:sz w:val="18"/>
        </w:rPr>
        <w:t> </w:t>
      </w:r>
      <w:r>
        <w:rPr>
          <w:sz w:val="18"/>
        </w:rPr>
        <w:t>e</w:t>
      </w:r>
      <w:r>
        <w:rPr>
          <w:spacing w:val="-2"/>
          <w:sz w:val="18"/>
        </w:rPr>
        <w:t> </w:t>
      </w:r>
      <w:r>
        <w:rPr>
          <w:sz w:val="18"/>
        </w:rPr>
        <w:t>tendente</w:t>
      </w:r>
      <w:r>
        <w:rPr>
          <w:spacing w:val="-2"/>
          <w:sz w:val="18"/>
        </w:rPr>
        <w:t> </w:t>
      </w:r>
      <w:r>
        <w:rPr>
          <w:sz w:val="18"/>
        </w:rPr>
        <w:t>a</w:t>
      </w:r>
      <w:r>
        <w:rPr>
          <w:spacing w:val="-2"/>
          <w:sz w:val="18"/>
        </w:rPr>
        <w:t> </w:t>
      </w:r>
      <w:r>
        <w:rPr>
          <w:sz w:val="18"/>
        </w:rPr>
        <w:t>promover</w:t>
      </w:r>
      <w:r>
        <w:rPr>
          <w:spacing w:val="-2"/>
          <w:sz w:val="18"/>
        </w:rPr>
        <w:t> </w:t>
      </w:r>
      <w:r>
        <w:rPr>
          <w:sz w:val="18"/>
        </w:rPr>
        <w:t>a</w:t>
      </w:r>
      <w:r>
        <w:rPr>
          <w:spacing w:val="-2"/>
          <w:sz w:val="18"/>
        </w:rPr>
        <w:t> </w:t>
      </w:r>
      <w:r>
        <w:rPr>
          <w:sz w:val="18"/>
        </w:rPr>
        <w:t>igualdade</w:t>
      </w:r>
      <w:r>
        <w:rPr>
          <w:spacing w:val="-2"/>
          <w:sz w:val="18"/>
        </w:rPr>
        <w:t> </w:t>
      </w:r>
      <w:r>
        <w:rPr>
          <w:sz w:val="18"/>
        </w:rPr>
        <w:t>entre</w:t>
      </w:r>
      <w:r>
        <w:rPr>
          <w:spacing w:val="-2"/>
          <w:sz w:val="18"/>
        </w:rPr>
        <w:t> </w:t>
      </w:r>
      <w:r>
        <w:rPr>
          <w:sz w:val="18"/>
        </w:rPr>
        <w:t>os</w:t>
      </w:r>
      <w:r>
        <w:rPr>
          <w:spacing w:val="-2"/>
          <w:sz w:val="18"/>
        </w:rPr>
        <w:t> </w:t>
      </w:r>
      <w:r>
        <w:rPr>
          <w:sz w:val="18"/>
        </w:rPr>
        <w:t>membros</w:t>
      </w:r>
      <w:r>
        <w:rPr>
          <w:spacing w:val="-2"/>
          <w:sz w:val="18"/>
        </w:rPr>
        <w:t> </w:t>
      </w:r>
      <w:r>
        <w:rPr>
          <w:sz w:val="18"/>
        </w:rPr>
        <w:t>do</w:t>
      </w:r>
      <w:r>
        <w:rPr>
          <w:spacing w:val="-2"/>
          <w:sz w:val="18"/>
        </w:rPr>
        <w:t> </w:t>
      </w:r>
      <w:r>
        <w:rPr>
          <w:sz w:val="18"/>
        </w:rPr>
        <w:t>Ministério </w:t>
      </w:r>
      <w:r>
        <w:rPr>
          <w:spacing w:val="-2"/>
          <w:sz w:val="18"/>
        </w:rPr>
        <w:t>Público.</w:t>
      </w:r>
    </w:p>
    <w:p>
      <w:pPr>
        <w:pStyle w:val="BodyText"/>
        <w:spacing w:before="11"/>
      </w:pPr>
    </w:p>
    <w:p>
      <w:pPr>
        <w:pStyle w:val="BodyText"/>
        <w:ind w:left="234"/>
      </w:pPr>
      <w:r>
        <w:rPr>
          <w:spacing w:val="-2"/>
        </w:rPr>
        <w:t>RESOLVE:</w:t>
      </w:r>
    </w:p>
    <w:p>
      <w:pPr>
        <w:pStyle w:val="BodyText"/>
        <w:spacing w:before="18"/>
      </w:pPr>
    </w:p>
    <w:p>
      <w:pPr>
        <w:pStyle w:val="BodyText"/>
        <w:spacing w:line="249" w:lineRule="auto"/>
        <w:ind w:left="234" w:right="217"/>
        <w:jc w:val="both"/>
      </w:pPr>
      <w:r>
        <w:rPr/>
        <w:t>Art. 1º Durante o exercício 2023 somente será deferido o disposto na Lei Estadual nº 8.367/2020, aos membros do Ministério </w:t>
      </w:r>
      <w:r>
        <w:rPr>
          <w:spacing w:val="11"/>
        </w:rPr>
        <w:t>Público</w:t>
      </w:r>
      <w:r>
        <w:rPr>
          <w:spacing w:val="11"/>
        </w:rPr>
        <w:t> </w:t>
      </w:r>
      <w:r>
        <w:rPr/>
        <w:t>que </w:t>
      </w:r>
      <w:r>
        <w:rPr>
          <w:spacing w:val="11"/>
        </w:rPr>
        <w:t>apresentem</w:t>
      </w:r>
      <w:r>
        <w:rPr>
          <w:spacing w:val="11"/>
        </w:rPr>
        <w:t> requerimento</w:t>
      </w:r>
      <w:r>
        <w:rPr>
          <w:spacing w:val="11"/>
        </w:rPr>
        <w:t> </w:t>
      </w:r>
      <w:r>
        <w:rPr>
          <w:spacing w:val="12"/>
        </w:rPr>
        <w:t>fundamentado,</w:t>
      </w:r>
      <w:r>
        <w:rPr>
          <w:spacing w:val="12"/>
        </w:rPr>
        <w:t> </w:t>
      </w:r>
      <w:r>
        <w:rPr/>
        <w:t>até o dia 30 de </w:t>
      </w:r>
      <w:r>
        <w:rPr>
          <w:spacing w:val="11"/>
        </w:rPr>
        <w:t>novembro</w:t>
      </w:r>
      <w:r>
        <w:rPr>
          <w:spacing w:val="11"/>
        </w:rPr>
        <w:t> </w:t>
      </w:r>
      <w:r>
        <w:rPr>
          <w:spacing w:val="10"/>
        </w:rPr>
        <w:t>2023,</w:t>
      </w:r>
      <w:r>
        <w:rPr>
          <w:spacing w:val="10"/>
        </w:rPr>
        <w:t> </w:t>
      </w:r>
      <w:r>
        <w:rPr/>
        <w:t>por </w:t>
      </w:r>
      <w:r>
        <w:rPr>
          <w:spacing w:val="9"/>
        </w:rPr>
        <w:t>meio</w:t>
      </w:r>
      <w:r>
        <w:rPr>
          <w:spacing w:val="9"/>
        </w:rPr>
        <w:t> </w:t>
      </w:r>
      <w:r>
        <w:rPr/>
        <w:t>do </w:t>
      </w:r>
      <w:r>
        <w:rPr>
          <w:spacing w:val="13"/>
        </w:rPr>
        <w:t>e-mail </w:t>
      </w:r>
      <w:hyperlink r:id="rId8">
        <w:r>
          <w:rPr>
            <w:spacing w:val="-2"/>
          </w:rPr>
          <w:t>ged.gestaodepessoas@mpal.mp.br</w:t>
        </w:r>
      </w:hyperlink>
    </w:p>
    <w:p>
      <w:pPr>
        <w:pStyle w:val="BodyText"/>
        <w:spacing w:before="11"/>
      </w:pPr>
    </w:p>
    <w:p>
      <w:pPr>
        <w:pStyle w:val="BodyText"/>
        <w:ind w:left="234"/>
        <w:jc w:val="both"/>
      </w:pPr>
      <w:r>
        <w:rPr/>
        <w:t>Art. 2º Este Ato entrará vigor na data da sua </w:t>
      </w:r>
      <w:r>
        <w:rPr>
          <w:spacing w:val="-2"/>
        </w:rPr>
        <w:t>publicação.</w:t>
      </w:r>
    </w:p>
    <w:p>
      <w:pPr>
        <w:pStyle w:val="BodyText"/>
        <w:spacing w:line="430" w:lineRule="atLeast" w:before="2"/>
        <w:ind w:left="234" w:right="3714"/>
      </w:pPr>
      <w:r>
        <w:rPr/>
        <w:t>Gabinete</w:t>
      </w:r>
      <w:r>
        <w:rPr>
          <w:spacing w:val="-4"/>
        </w:rPr>
        <w:t> </w:t>
      </w:r>
      <w:r>
        <w:rPr/>
        <w:t>do</w:t>
      </w:r>
      <w:r>
        <w:rPr>
          <w:spacing w:val="-4"/>
        </w:rPr>
        <w:t> </w:t>
      </w:r>
      <w:r>
        <w:rPr/>
        <w:t>Procurador-Geral</w:t>
      </w:r>
      <w:r>
        <w:rPr>
          <w:spacing w:val="-4"/>
        </w:rPr>
        <w:t> </w:t>
      </w:r>
      <w:r>
        <w:rPr/>
        <w:t>de</w:t>
      </w:r>
      <w:r>
        <w:rPr>
          <w:spacing w:val="-4"/>
        </w:rPr>
        <w:t> </w:t>
      </w:r>
      <w:r>
        <w:rPr/>
        <w:t>Justiça,</w:t>
      </w:r>
      <w:r>
        <w:rPr>
          <w:spacing w:val="-4"/>
        </w:rPr>
        <w:t> </w:t>
      </w:r>
      <w:r>
        <w:rPr/>
        <w:t>em</w:t>
      </w:r>
      <w:r>
        <w:rPr>
          <w:spacing w:val="-4"/>
        </w:rPr>
        <w:t> </w:t>
      </w:r>
      <w:r>
        <w:rPr/>
        <w:t>Maceió,</w:t>
      </w:r>
      <w:r>
        <w:rPr>
          <w:spacing w:val="-4"/>
        </w:rPr>
        <w:t> </w:t>
      </w:r>
      <w:r>
        <w:rPr/>
        <w:t>23</w:t>
      </w:r>
      <w:r>
        <w:rPr>
          <w:spacing w:val="-4"/>
        </w:rPr>
        <w:t> </w:t>
      </w:r>
      <w:r>
        <w:rPr/>
        <w:t>de</w:t>
      </w:r>
      <w:r>
        <w:rPr>
          <w:spacing w:val="-4"/>
        </w:rPr>
        <w:t> </w:t>
      </w:r>
      <w:r>
        <w:rPr/>
        <w:t>novembro</w:t>
      </w:r>
      <w:r>
        <w:rPr>
          <w:spacing w:val="-4"/>
        </w:rPr>
        <w:t> </w:t>
      </w:r>
      <w:r>
        <w:rPr/>
        <w:t>de</w:t>
      </w:r>
      <w:r>
        <w:rPr>
          <w:spacing w:val="-4"/>
        </w:rPr>
        <w:t> </w:t>
      </w:r>
      <w:r>
        <w:rPr/>
        <w:t>2023. LEAN ANTÔNIO FERREIRA DE ARAÚJO</w:t>
      </w:r>
    </w:p>
    <w:p>
      <w:pPr>
        <w:pStyle w:val="BodyText"/>
        <w:spacing w:before="11"/>
        <w:ind w:left="234"/>
        <w:jc w:val="both"/>
      </w:pPr>
      <w:r>
        <w:rPr/>
        <w:t>Procurador-Geral de Justiça em </w:t>
      </w:r>
      <w:r>
        <w:rPr>
          <w:spacing w:val="-2"/>
        </w:rPr>
        <w:t>exercício</w:t>
      </w:r>
    </w:p>
    <w:p>
      <w:pPr>
        <w:pStyle w:val="BodyText"/>
        <w:spacing w:before="18"/>
      </w:pPr>
    </w:p>
    <w:p>
      <w:pPr>
        <w:pStyle w:val="Heading1"/>
      </w:pPr>
      <w:r>
        <w:rPr/>
        <w:t>Despachos do Procurador-Geral de </w:t>
      </w:r>
      <w:r>
        <w:rPr>
          <w:spacing w:val="-2"/>
        </w:rPr>
        <w:t>Justiça</w:t>
      </w:r>
    </w:p>
    <w:p>
      <w:pPr>
        <w:pStyle w:val="BodyText"/>
        <w:spacing w:before="42"/>
        <w:rPr>
          <w:rFonts w:ascii="Arial"/>
          <w:b/>
        </w:rPr>
      </w:pPr>
    </w:p>
    <w:p>
      <w:pPr>
        <w:pStyle w:val="BodyText"/>
        <w:spacing w:line="249" w:lineRule="auto"/>
        <w:ind w:left="234"/>
      </w:pPr>
      <w:r>
        <w:rPr/>
        <w:t>O PROCURADOR-GERAL DE JUSTIÇA DO ESTADO DE ALAGOAS EM EXERCÍCIO, DR. LEAN ANTÔNIO FERREIRA DE</w:t>
      </w:r>
      <w:r>
        <w:rPr>
          <w:spacing w:val="80"/>
        </w:rPr>
        <w:t> </w:t>
      </w:r>
      <w:r>
        <w:rPr/>
        <w:t>ARAÚJO, DESPACHOU NO DIA 23 DE NOVEMBRO DO CORRENTE ANO, OS SEGUINTES PROCESSOS:</w:t>
      </w:r>
    </w:p>
    <w:p>
      <w:pPr>
        <w:pStyle w:val="BodyText"/>
        <w:spacing w:before="10"/>
      </w:pPr>
    </w:p>
    <w:p>
      <w:pPr>
        <w:pStyle w:val="BodyText"/>
        <w:ind w:left="234"/>
        <w:jc w:val="both"/>
      </w:pPr>
      <w:r>
        <w:rPr/>
        <w:t>Proc: 02.2023.00009463-</w:t>
      </w:r>
      <w:r>
        <w:rPr>
          <w:spacing w:val="-5"/>
        </w:rPr>
        <w:t>1.</w:t>
      </w:r>
    </w:p>
    <w:p>
      <w:pPr>
        <w:pStyle w:val="BodyText"/>
        <w:spacing w:line="249" w:lineRule="auto" w:before="9"/>
        <w:ind w:left="234" w:right="4921"/>
      </w:pPr>
      <w:r>
        <w:rPr/>
        <w:t>Interessado:</w:t>
      </w:r>
      <w:r>
        <w:rPr>
          <w:spacing w:val="-5"/>
        </w:rPr>
        <w:t> </w:t>
      </w:r>
      <w:r>
        <w:rPr/>
        <w:t>Promotoria</w:t>
      </w:r>
      <w:r>
        <w:rPr>
          <w:spacing w:val="-5"/>
        </w:rPr>
        <w:t> </w:t>
      </w:r>
      <w:r>
        <w:rPr/>
        <w:t>de</w:t>
      </w:r>
      <w:r>
        <w:rPr>
          <w:spacing w:val="-5"/>
        </w:rPr>
        <w:t> </w:t>
      </w:r>
      <w:r>
        <w:rPr/>
        <w:t>Justiça</w:t>
      </w:r>
      <w:r>
        <w:rPr>
          <w:spacing w:val="-5"/>
        </w:rPr>
        <w:t> </w:t>
      </w:r>
      <w:r>
        <w:rPr/>
        <w:t>de</w:t>
      </w:r>
      <w:r>
        <w:rPr>
          <w:spacing w:val="-5"/>
        </w:rPr>
        <w:t> </w:t>
      </w:r>
      <w:r>
        <w:rPr/>
        <w:t>Teotônio</w:t>
      </w:r>
      <w:r>
        <w:rPr>
          <w:spacing w:val="-5"/>
        </w:rPr>
        <w:t> </w:t>
      </w:r>
      <w:r>
        <w:rPr/>
        <w:t>Vilela</w:t>
      </w:r>
      <w:r>
        <w:rPr>
          <w:spacing w:val="-5"/>
        </w:rPr>
        <w:t> </w:t>
      </w:r>
      <w:r>
        <w:rPr/>
        <w:t>-</w:t>
      </w:r>
      <w:r>
        <w:rPr>
          <w:spacing w:val="-5"/>
        </w:rPr>
        <w:t> </w:t>
      </w:r>
      <w:r>
        <w:rPr/>
        <w:t>MPAL. Assunto: Requerimento de providências.</w:t>
      </w:r>
    </w:p>
    <w:sectPr>
      <w:headerReference w:type="default" r:id="rId5"/>
      <w:footerReference w:type="default" r:id="rId6"/>
      <w:type w:val="continuous"/>
      <w:pgSz w:w="11900" w:h="16840"/>
      <w:pgMar w:header="99" w:footer="725" w:top="780" w:bottom="920" w:left="566" w:right="566"/>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752">
              <wp:simplePos x="0" y="0"/>
              <wp:positionH relativeFrom="page">
                <wp:posOffset>431800</wp:posOffset>
              </wp:positionH>
              <wp:positionV relativeFrom="page">
                <wp:posOffset>10058400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772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99264">
              <wp:simplePos x="0" y="0"/>
              <wp:positionH relativeFrom="page">
                <wp:posOffset>1027683</wp:posOffset>
              </wp:positionH>
              <wp:positionV relativeFrom="page">
                <wp:posOffset>10080724</wp:posOffset>
              </wp:positionV>
              <wp:extent cx="550227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17216" type="#_x0000_t202" id="docshape2"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7015988</wp:posOffset>
              </wp:positionH>
              <wp:positionV relativeFrom="page">
                <wp:posOffset>10235530</wp:posOffset>
              </wp:positionV>
              <wp:extent cx="965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520" cy="167640"/>
                      </a:xfrm>
                      <a:prstGeom prst="rect">
                        <a:avLst/>
                      </a:prstGeom>
                    </wps:spPr>
                    <wps:txbx>
                      <w:txbxContent>
                        <w:p>
                          <w:pPr>
                            <w:spacing w:before="13"/>
                            <w:ind w:left="20" w:right="0" w:firstLine="0"/>
                            <w:jc w:val="left"/>
                            <w:rPr>
                              <w:rFonts w:ascii="Arial"/>
                              <w:b/>
                              <w:sz w:val="20"/>
                            </w:rPr>
                          </w:pPr>
                          <w:r>
                            <w:rPr>
                              <w:rFonts w:ascii="Arial"/>
                              <w:b/>
                              <w:spacing w:val="-10"/>
                              <w:sz w:val="20"/>
                            </w:rPr>
                            <w:t>1</w:t>
                          </w:r>
                        </w:p>
                      </w:txbxContent>
                    </wps:txbx>
                    <wps:bodyPr wrap="square" lIns="0" tIns="0" rIns="0" bIns="0" rtlCol="0">
                      <a:noAutofit/>
                    </wps:bodyPr>
                  </wps:wsp>
                </a:graphicData>
              </a:graphic>
            </wp:anchor>
          </w:drawing>
        </mc:Choice>
        <mc:Fallback>
          <w:pict>
            <v:shape style="position:absolute;margin-left:552.440002pt;margin-top:805.947266pt;width:7.6pt;height:13.2pt;mso-position-horizontal-relative:page;mso-position-vertical-relative:page;z-index:-15816704" type="#_x0000_t202" id="docshape3" filled="false" stroked="false">
              <v:textbox inset="0,0,0,0">
                <w:txbxContent>
                  <w:p>
                    <w:pPr>
                      <w:spacing w:before="13"/>
                      <w:ind w:left="20" w:right="0" w:firstLine="0"/>
                      <w:jc w:val="left"/>
                      <w:rPr>
                        <w:rFonts w:ascii="Arial"/>
                        <w:b/>
                        <w:sz w:val="20"/>
                      </w:rPr>
                    </w:pPr>
                    <w:r>
                      <w:rPr>
                        <w:rFonts w:ascii="Arial"/>
                        <w:b/>
                        <w:spacing w:val="-10"/>
                        <w:sz w:val="20"/>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240">
              <wp:simplePos x="0" y="0"/>
              <wp:positionH relativeFrom="page">
                <wp:posOffset>4780153</wp:posOffset>
              </wp:positionH>
              <wp:positionV relativeFrom="page">
                <wp:posOffset>50465</wp:posOffset>
              </wp:positionV>
              <wp:extent cx="2428875" cy="1917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28875" cy="191770"/>
                      </a:xfrm>
                      <a:prstGeom prst="rect">
                        <a:avLst/>
                      </a:prstGeom>
                    </wps:spPr>
                    <wps:txbx>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390015pt;margin-top:3.973633pt;width:191.25pt;height:15.1pt;mso-position-horizontal-relative:page;mso-position-vertical-relative:page;z-index:-15818240" type="#_x0000_t202" id="docshape1" filled="false" stroked="false">
              <v:textbox inset="0,0,0,0">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1"/>
      <w:ind w:left="234"/>
      <w:jc w:val="both"/>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ged.gestaodepessoas@mpal.mp.b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2025-07-21T14:26:31Z</dcterms:created>
  <dcterms:modified xsi:type="dcterms:W3CDTF">2025-07-21T14:26:31Z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