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16 de novembro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4"/>
        </w:rPr>
        <w:t>1011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2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4144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20/2023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6"/>
        <w:jc w:val="both"/>
      </w:pPr>
      <w:r>
        <w:rPr/>
        <w:t>O PROCURADOR-GERAL DE JUSTIÇA, no uso de suas atribuições previstas no art. 9°, inciso V, da Lei Complementar Estadual nº 15/1996, e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Considerando que o feriado do dia 30 de novembro do corrente ano será em uma quinta-</w:t>
      </w:r>
      <w:r>
        <w:rPr>
          <w:spacing w:val="-2"/>
        </w:rPr>
        <w:t>feira;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que a suspensão das atividades do Ministério Público no dia 1º de dezembro (sexta-feira) não resultará prejuízo para os jurisdicionados, haja vista a suspensão das atividades, atos e dos prazos processuais do Poder Judiciário, conforme o disposto no Ato Normativo nº 18, de 22 de março de 2023, do Tribunal de Justiça do Estado de Alagoas e considerando a conveniência e o interesse da Administração deste Ministério Público Estadual,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234" w:right="173"/>
      </w:pPr>
      <w:r>
        <w:rPr/>
        <w:t>Art.</w:t>
      </w:r>
      <w:r>
        <w:rPr>
          <w:spacing w:val="-3"/>
        </w:rPr>
        <w:t> </w:t>
      </w:r>
      <w:r>
        <w:rPr/>
        <w:t>1º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Transferir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30/11/2023</w:t>
      </w:r>
      <w:r>
        <w:rPr>
          <w:spacing w:val="-3"/>
        </w:rPr>
        <w:t> </w:t>
      </w:r>
      <w:r>
        <w:rPr/>
        <w:t>(quinta-feira)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01/12/2023</w:t>
      </w:r>
      <w:r>
        <w:rPr>
          <w:spacing w:val="-3"/>
        </w:rPr>
        <w:t> </w:t>
      </w:r>
      <w:r>
        <w:rPr/>
        <w:t>(sexta-feira)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feriado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comemoração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Evangélico. Art. 2º – Este ato entra em vigor na data da sua publicação, revogando-se as disposições em contrário.</w:t>
      </w:r>
    </w:p>
    <w:p>
      <w:pPr>
        <w:pStyle w:val="BodyText"/>
        <w:spacing w:line="206" w:lineRule="exact"/>
        <w:ind w:left="234"/>
      </w:pPr>
      <w:r>
        <w:rPr/>
        <w:t>Publique-se. Cumpra-</w:t>
      </w:r>
      <w:r>
        <w:rPr>
          <w:spacing w:val="-5"/>
        </w:rPr>
        <w:t>se.</w:t>
      </w:r>
    </w:p>
    <w:p>
      <w:pPr>
        <w:pStyle w:val="BodyText"/>
        <w:spacing w:line="430" w:lineRule="atLeast" w:before="2"/>
        <w:ind w:left="234" w:right="3464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2023. MÁRCIO ROBERTO TENÓRIO DE ALBUQUERQUE</w:t>
      </w:r>
    </w:p>
    <w:p>
      <w:pPr>
        <w:pStyle w:val="BodyText"/>
        <w:spacing w:before="11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14 DE NOVEMBRO DO CORRENTE ANO, OS SEGUINTES PROCESSOS: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Proc:02.2023.00009045-</w:t>
      </w:r>
      <w:r>
        <w:rPr>
          <w:spacing w:val="-5"/>
        </w:rPr>
        <w:t>7.</w:t>
      </w:r>
    </w:p>
    <w:p>
      <w:pPr>
        <w:pStyle w:val="BodyText"/>
        <w:spacing w:line="249" w:lineRule="auto" w:before="9"/>
        <w:ind w:left="234" w:right="5346"/>
      </w:pPr>
      <w:r>
        <w:rPr/>
        <w:t>Interessado:</w:t>
      </w:r>
      <w:r>
        <w:rPr>
          <w:spacing w:val="-6"/>
        </w:rPr>
        <w:t> </w:t>
      </w:r>
      <w:r>
        <w:rPr/>
        <w:t>3ª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Arapiraca/Cível</w:t>
      </w:r>
      <w:r>
        <w:rPr>
          <w:spacing w:val="-6"/>
        </w:rPr>
        <w:t> </w:t>
      </w:r>
      <w:r>
        <w:rPr/>
        <w:t>Residual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TJAL. Assunto: Requerimento de providências.</w:t>
      </w:r>
    </w:p>
    <w:p>
      <w:pPr>
        <w:pStyle w:val="BodyText"/>
        <w:spacing w:line="249" w:lineRule="auto" w:before="1"/>
        <w:ind w:left="234"/>
      </w:pPr>
      <w:r>
        <w:rPr/>
        <w:t>Despacho:</w:t>
      </w:r>
      <w:r>
        <w:rPr>
          <w:spacing w:val="62"/>
        </w:rPr>
        <w:t> </w:t>
      </w:r>
      <w:r>
        <w:rPr/>
        <w:t>Adotadas</w:t>
      </w:r>
      <w:r>
        <w:rPr>
          <w:spacing w:val="62"/>
        </w:rPr>
        <w:t> </w:t>
      </w:r>
      <w:r>
        <w:rPr/>
        <w:t>as</w:t>
      </w:r>
      <w:r>
        <w:rPr>
          <w:spacing w:val="62"/>
        </w:rPr>
        <w:t> </w:t>
      </w:r>
      <w:r>
        <w:rPr/>
        <w:t>medidas</w:t>
      </w:r>
      <w:r>
        <w:rPr>
          <w:spacing w:val="62"/>
        </w:rPr>
        <w:t> </w:t>
      </w:r>
      <w:r>
        <w:rPr/>
        <w:t>legais</w:t>
      </w:r>
      <w:r>
        <w:rPr>
          <w:spacing w:val="62"/>
        </w:rPr>
        <w:t> </w:t>
      </w:r>
      <w:r>
        <w:rPr/>
        <w:t>cabíveis,</w:t>
      </w:r>
      <w:r>
        <w:rPr>
          <w:spacing w:val="62"/>
        </w:rPr>
        <w:t> </w:t>
      </w:r>
      <w:r>
        <w:rPr/>
        <w:t>no</w:t>
      </w:r>
      <w:r>
        <w:rPr>
          <w:spacing w:val="62"/>
        </w:rPr>
        <w:t> </w:t>
      </w:r>
      <w:r>
        <w:rPr/>
        <w:t>âmbito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Ministério</w:t>
      </w:r>
      <w:r>
        <w:rPr>
          <w:spacing w:val="62"/>
        </w:rPr>
        <w:t> </w:t>
      </w:r>
      <w:r>
        <w:rPr/>
        <w:t>Público,</w:t>
      </w:r>
      <w:r>
        <w:rPr>
          <w:spacing w:val="62"/>
        </w:rPr>
        <w:t> </w:t>
      </w:r>
      <w:r>
        <w:rPr/>
        <w:t>determino</w:t>
      </w:r>
      <w:r>
        <w:rPr>
          <w:spacing w:val="62"/>
        </w:rPr>
        <w:t> </w:t>
      </w:r>
      <w:r>
        <w:rPr/>
        <w:t>o</w:t>
      </w:r>
      <w:r>
        <w:rPr>
          <w:spacing w:val="62"/>
        </w:rPr>
        <w:t> </w:t>
      </w:r>
      <w:r>
        <w:rPr/>
        <w:t>arquivamento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feito, obedecidas as cautelas de estilo.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516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46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414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2025-07-21T14:26:18Z</dcterms:created>
  <dcterms:modified xsi:type="dcterms:W3CDTF">2025-07-21T14:26:18Z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