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43"/>
        <w:ind w:left="113"/>
      </w:pPr>
      <w:r>
        <w:rPr/>
        <w:t>Data de disponibilização: 19 de outubro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994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3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5168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19/2023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6"/>
        <w:jc w:val="both"/>
      </w:pPr>
      <w:r>
        <w:rPr/>
        <w:t>O PROCURADOR-GERAL DE JUSTIÇA em exercício, no uso de suas atribuições previstas no art. 9°, inciso V, da Lei Complementar Estadual nº 15/1996,</w:t>
      </w:r>
    </w:p>
    <w:p>
      <w:pPr>
        <w:pStyle w:val="BodyText"/>
        <w:spacing w:before="11"/>
      </w:pPr>
    </w:p>
    <w:p>
      <w:pPr>
        <w:pStyle w:val="BodyText"/>
        <w:ind w:left="234"/>
        <w:jc w:val="both"/>
      </w:pPr>
      <w:r>
        <w:rPr/>
        <w:t>Considerando o feriado nacional do dia 2 de novembro do corrente </w:t>
      </w:r>
      <w:r>
        <w:rPr>
          <w:spacing w:val="-4"/>
        </w:rPr>
        <w:t>ano;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Considerando que a suspensão das atividades do Ministério Público no dia 3 de novembro (sexta-feira) não resultará prejuízo para os jurisdicionados, haja vista a suspensão das atividades, atos e dos prazos processuais do Poder Judiciário, conforme o disposto no Art 4º, do Ato Normativo nº 18, de 22 de março de 2023, do Tribunal de Justiça do Estado de Alagoas e considerando a conveniência e o interesse da Administração deste Ministério Público Estadual;</w:t>
      </w:r>
    </w:p>
    <w:p>
      <w:pPr>
        <w:pStyle w:val="BodyText"/>
        <w:spacing w:before="12"/>
      </w:pPr>
    </w:p>
    <w:p>
      <w:pPr>
        <w:pStyle w:val="BodyText"/>
        <w:ind w:left="234"/>
      </w:pPr>
      <w:r>
        <w:rPr>
          <w:spacing w:val="-2"/>
        </w:rPr>
        <w:t>RESOLVE: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Art. 1º Suspender as atividades, atos e prazos processuais, no âmbito do Ministério Público do Estado de Alagoas, no dia 3 de novembro de 2023 (sexta-feira).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§1º A compensação da jornada de trabalho, relativa ao dia de suspensão mencionada no caput deste artigo, deverá ser</w:t>
      </w:r>
      <w:r>
        <w:rPr>
          <w:spacing w:val="40"/>
        </w:rPr>
        <w:t> </w:t>
      </w:r>
      <w:r>
        <w:rPr/>
        <w:t>realizada na proporção de 1 (uma) hora/dia, durante os dias 6, 7, 8, 9, 10 e 13 de novembro do corrente ano.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§2º O membro ou servidor que usufruir da suspensão, objeto do presente ato, que venha a afastar-se de suas atribuições para gozo de férias ou outro motivo, no mês de outubro, deverá compensar, proporcionalmente, a respectiva jornada no mês de novembro de 2023.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2441"/>
      </w:pPr>
      <w:r>
        <w:rPr/>
        <w:t>Art.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line="206" w:lineRule="exact"/>
        <w:ind w:left="234"/>
      </w:pPr>
      <w:r>
        <w:rPr/>
        <w:t>Gabinete do Procurador-Geral de Justiça, em Maceió, 18 de outubro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Justiça em </w:t>
      </w:r>
      <w:r>
        <w:rPr>
          <w:spacing w:val="-2"/>
        </w:rPr>
        <w:t>exercício</w:t>
      </w:r>
    </w:p>
    <w:p>
      <w:pPr>
        <w:pStyle w:val="BodyText"/>
        <w:spacing w:before="18"/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Despachos do Procurador-Geral de </w:t>
      </w:r>
      <w:r>
        <w:rPr>
          <w:rFonts w:ascii="Arial" w:hAnsi="Arial"/>
          <w:b/>
          <w:spacing w:val="-2"/>
          <w:sz w:val="18"/>
        </w:rPr>
        <w:t>Justiça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619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516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2025-07-21T14:26:03Z</dcterms:created>
  <dcterms:modified xsi:type="dcterms:W3CDTF">2025-07-21T14:26:03Z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