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3 de junho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1379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498538</wp:posOffset>
                </wp:positionH>
                <wp:positionV relativeFrom="paragraph">
                  <wp:posOffset>258131</wp:posOffset>
                </wp:positionV>
                <wp:extent cx="6559550" cy="9575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25281pt;width:516.5pt;height:75.4pt;mso-position-horizontal-relative:page;mso-position-vertical-relative:paragraph;z-index:-15728128;mso-wrap-distance-left:0;mso-wrap-distance-right:0" id="docshapegroup5" coordorigin="785,407" coordsize="10330,1508">
                <v:shape style="position:absolute;left:792;top:414;width:10315;height:1493" id="docshape6" coordorigin="793,414" coordsize="10315,1493" path="m793,414l793,1907m793,1907l11108,1907m11108,1907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7;width:2622;height:168" type="#_x0000_t202" id="docshape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6;width:3342;height:779" type="#_x0000_t202" id="docshape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616;mso-wrap-distance-left:0;mso-wrap-distance-right:0" id="docshape10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11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17/2025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234"/>
      </w:pPr>
      <w:r>
        <w:rPr/>
        <w:t>Altera o Ato PGJ nº 24/2021, que define o horário de funcionamento das Promotorias de Justiça da </w:t>
      </w:r>
      <w:r>
        <w:rPr>
          <w:spacing w:val="-2"/>
        </w:rPr>
        <w:t>Capital.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234"/>
      </w:pPr>
      <w:r>
        <w:rPr/>
        <w:t>O</w:t>
      </w:r>
      <w:r>
        <w:rPr>
          <w:spacing w:val="32"/>
        </w:rPr>
        <w:t> </w:t>
      </w:r>
      <w:r>
        <w:rPr/>
        <w:t>PROCURADOR-GERAL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JUSTIÇA,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das</w:t>
      </w:r>
      <w:r>
        <w:rPr>
          <w:spacing w:val="32"/>
        </w:rPr>
        <w:t> </w:t>
      </w:r>
      <w:r>
        <w:rPr/>
        <w:t>atribuições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lhe</w:t>
      </w:r>
      <w:r>
        <w:rPr>
          <w:spacing w:val="32"/>
        </w:rPr>
        <w:t> </w:t>
      </w:r>
      <w:r>
        <w:rPr/>
        <w:t>são</w:t>
      </w:r>
      <w:r>
        <w:rPr>
          <w:spacing w:val="32"/>
        </w:rPr>
        <w:t> </w:t>
      </w:r>
      <w:r>
        <w:rPr/>
        <w:t>conferidas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art.</w:t>
      </w:r>
      <w:r>
        <w:rPr>
          <w:spacing w:val="32"/>
        </w:rPr>
        <w:t> </w:t>
      </w:r>
      <w:r>
        <w:rPr/>
        <w:t>9º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Complementar Estadual nº 15, de 22 de novembro de 1996, ao considerar:</w:t>
      </w:r>
    </w:p>
    <w:p>
      <w:pPr>
        <w:pStyle w:val="BodyText"/>
        <w:spacing w:line="501" w:lineRule="auto" w:before="1"/>
        <w:ind w:left="234" w:right="4419"/>
      </w:pPr>
      <w:r>
        <w:rPr/>
        <w:t>I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contido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Expediente</w:t>
      </w:r>
      <w:r>
        <w:rPr>
          <w:spacing w:val="-5"/>
        </w:rPr>
        <w:t> </w:t>
      </w:r>
      <w:r>
        <w:rPr/>
        <w:t>GED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20.08.0284.0004918/2025-</w:t>
      </w:r>
      <w:r>
        <w:rPr/>
        <w:t>87 </w:t>
      </w:r>
      <w:r>
        <w:rPr>
          <w:spacing w:val="-2"/>
        </w:rPr>
        <w:t>RESOLVE:</w:t>
      </w:r>
    </w:p>
    <w:p>
      <w:pPr>
        <w:pStyle w:val="BodyText"/>
        <w:spacing w:line="206" w:lineRule="exact"/>
        <w:ind w:left="234"/>
      </w:pPr>
      <w:r>
        <w:rPr/>
        <w:t>Art. 1º - O Anexo I do Ato PGJ nº 24/2021 passa a vigorar com a seguinte </w:t>
      </w:r>
      <w:r>
        <w:rPr>
          <w:spacing w:val="-2"/>
        </w:rPr>
        <w:t>redação:</w:t>
      </w:r>
    </w:p>
    <w:p>
      <w:pPr>
        <w:spacing w:before="9"/>
        <w:ind w:left="234" w:right="0" w:firstLine="0"/>
        <w:jc w:val="left"/>
        <w:rPr>
          <w:sz w:val="18"/>
        </w:rPr>
      </w:pPr>
      <w:r>
        <w:rPr>
          <w:spacing w:val="-10"/>
          <w:sz w:val="18"/>
        </w:rPr>
        <w:t>…</w:t>
      </w: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3102"/>
      </w:tblGrid>
      <w:tr>
        <w:trPr>
          <w:trHeight w:val="234" w:hRule="atLeast"/>
        </w:trPr>
        <w:tc>
          <w:tcPr>
            <w:tcW w:w="2155" w:type="dxa"/>
          </w:tcPr>
          <w:p>
            <w:pPr>
              <w:pStyle w:val="TableParagraph"/>
              <w:spacing w:line="189" w:lineRule="exact"/>
              <w:ind w:left="37" w:right="97"/>
              <w:rPr>
                <w:sz w:val="18"/>
              </w:rPr>
            </w:pPr>
            <w:r>
              <w:rPr>
                <w:sz w:val="18"/>
              </w:rPr>
              <w:t>8ª Promotoria de </w:t>
            </w:r>
            <w:r>
              <w:rPr>
                <w:spacing w:val="-2"/>
                <w:sz w:val="18"/>
              </w:rPr>
              <w:t>Justiça</w:t>
            </w:r>
          </w:p>
        </w:tc>
        <w:tc>
          <w:tcPr>
            <w:tcW w:w="3102" w:type="dxa"/>
          </w:tcPr>
          <w:p>
            <w:pPr>
              <w:pStyle w:val="TableParagraph"/>
              <w:spacing w:line="189" w:lineRule="exact"/>
              <w:ind w:left="29"/>
              <w:rPr>
                <w:sz w:val="18"/>
              </w:rPr>
            </w:pPr>
            <w:r>
              <w:rPr>
                <w:sz w:val="18"/>
              </w:rPr>
              <w:t>Segunda à Sexta, das 07:30 às </w:t>
            </w:r>
            <w:r>
              <w:rPr>
                <w:spacing w:val="-2"/>
                <w:sz w:val="18"/>
              </w:rPr>
              <w:t>13:30</w:t>
            </w:r>
          </w:p>
        </w:tc>
      </w:tr>
      <w:tr>
        <w:trPr>
          <w:trHeight w:val="226" w:hRule="atLeast"/>
        </w:trPr>
        <w:tc>
          <w:tcPr>
            <w:tcW w:w="2155" w:type="dxa"/>
          </w:tcPr>
          <w:p>
            <w:pPr>
              <w:pStyle w:val="TableParagraph"/>
              <w:spacing w:line="182" w:lineRule="exact"/>
              <w:ind w:left="37"/>
              <w:rPr>
                <w:sz w:val="18"/>
              </w:rPr>
            </w:pPr>
            <w:r>
              <w:rPr>
                <w:sz w:val="18"/>
              </w:rPr>
              <w:t>30ª Promotoria de </w:t>
            </w:r>
            <w:r>
              <w:rPr>
                <w:spacing w:val="-2"/>
                <w:sz w:val="18"/>
              </w:rPr>
              <w:t>Justiça</w:t>
            </w:r>
          </w:p>
        </w:tc>
        <w:tc>
          <w:tcPr>
            <w:tcW w:w="3102" w:type="dxa"/>
          </w:tcPr>
          <w:p>
            <w:pPr>
              <w:pStyle w:val="TableParagraph"/>
              <w:spacing w:line="182" w:lineRule="exact"/>
              <w:ind w:left="29"/>
              <w:rPr>
                <w:sz w:val="18"/>
              </w:rPr>
            </w:pPr>
            <w:r>
              <w:rPr>
                <w:sz w:val="18"/>
              </w:rPr>
              <w:t>Segunda à Sexta, das 07:30 às </w:t>
            </w:r>
            <w:r>
              <w:rPr>
                <w:spacing w:val="-2"/>
                <w:sz w:val="18"/>
              </w:rPr>
              <w:t>13:30</w:t>
            </w:r>
          </w:p>
        </w:tc>
      </w:tr>
      <w:tr>
        <w:trPr>
          <w:trHeight w:val="234" w:hRule="atLeast"/>
        </w:trPr>
        <w:tc>
          <w:tcPr>
            <w:tcW w:w="2155" w:type="dxa"/>
          </w:tcPr>
          <w:p>
            <w:pPr>
              <w:pStyle w:val="TableParagraph"/>
              <w:spacing w:line="182" w:lineRule="exact"/>
              <w:ind w:left="37"/>
              <w:rPr>
                <w:sz w:val="18"/>
              </w:rPr>
            </w:pPr>
            <w:r>
              <w:rPr>
                <w:sz w:val="18"/>
              </w:rPr>
              <w:t>31ª Promotoria de </w:t>
            </w:r>
            <w:r>
              <w:rPr>
                <w:spacing w:val="-2"/>
                <w:sz w:val="18"/>
              </w:rPr>
              <w:t>Justiça</w:t>
            </w:r>
          </w:p>
        </w:tc>
        <w:tc>
          <w:tcPr>
            <w:tcW w:w="3102" w:type="dxa"/>
          </w:tcPr>
          <w:p>
            <w:pPr>
              <w:pStyle w:val="TableParagraph"/>
              <w:spacing w:line="182" w:lineRule="exact"/>
              <w:ind w:left="29"/>
              <w:rPr>
                <w:sz w:val="18"/>
              </w:rPr>
            </w:pPr>
            <w:r>
              <w:rPr>
                <w:sz w:val="18"/>
              </w:rPr>
              <w:t>Segunda à Sexta, das 07:30 às </w:t>
            </w:r>
            <w:r>
              <w:rPr>
                <w:spacing w:val="-2"/>
                <w:sz w:val="18"/>
              </w:rPr>
              <w:t>13:30</w:t>
            </w:r>
          </w:p>
        </w:tc>
      </w:tr>
    </w:tbl>
    <w:p>
      <w:pPr>
        <w:pStyle w:val="BodyText"/>
        <w:spacing w:before="33"/>
      </w:pPr>
    </w:p>
    <w:p>
      <w:pPr>
        <w:pStyle w:val="BodyText"/>
        <w:spacing w:line="249" w:lineRule="auto" w:before="1"/>
        <w:ind w:left="234" w:right="5903"/>
      </w:pP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1"/>
        <w:ind w:left="234"/>
      </w:pPr>
      <w:r>
        <w:rPr/>
        <w:t>Gabinete do Procurador-Geral de Justiça, em Maceió, 02 de junho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588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453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4486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6400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2025-07-18T12:10:04Z</dcterms:created>
  <dcterms:modified xsi:type="dcterms:W3CDTF">2025-07-18T12:10:04Z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