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9307" cy="786288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21 de março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1333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8640;mso-wrap-distance-left:0;mso-wrap-distance-right:0" id="docshape3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line="249" w:lineRule="auto"/>
        <w:ind w:left="234"/>
      </w:pPr>
      <w:r>
        <w:rPr/>
        <w:t>vantagens cabíveis, como as decorrentes da aplicação do art. 16, da Lei Complementar Estadual nº 34, de 26 de julho de 2012, inclusive durante as férias e licenças previstas pelo art. 64, I a VI e VII “a” e “b”, da Lei Complementar Estadual nº 15/1996.".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1609"/>
      </w:pPr>
      <w:r>
        <w:rPr/>
        <w:t>Art.</w:t>
      </w:r>
      <w:r>
        <w:rPr>
          <w:spacing w:val="-2"/>
        </w:rPr>
        <w:t> </w:t>
      </w:r>
      <w:r>
        <w:rPr/>
        <w:t>2º.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publicação,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efeitos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2025. Gabinete do Procurador-Geral de Justiça, em Maceió, 20 de março de 2025.</w:t>
      </w:r>
    </w:p>
    <w:p>
      <w:pPr>
        <w:pStyle w:val="BodyText"/>
        <w:spacing w:line="206" w:lineRule="exac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13/2025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10"/>
        <w:jc w:val="both"/>
      </w:pPr>
      <w:r>
        <w:rPr/>
        <w:t>O PROCURADOR-GERAL DE JUSTIÇA DO ESTADO DE ALAGOAS, no uso de suas atribuições previstas no art. 9°, inciso V, da Lei Complementar Estadual nº 15/1996, e considerando o disposto no Ato Normativo nº 09, de 11 de março do corrente ano, do Poder Judiciário do Estado de Alagoas, que dispõe sobre os feriados para o exercício de 2025 e dá outras providências, e considerando a conveniência e o interesse da Administração deste Ministério Público Estadual,</w:t>
      </w:r>
    </w:p>
    <w:p>
      <w:pPr>
        <w:pStyle w:val="BodyText"/>
        <w:spacing w:before="12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 1º Suspender as atividades, atos e prazos processuais, no âmbito do Ministério Público do Estado de Alagoas, no dia 02 de maio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05, 06, 07, 08, 09 e 12 de maio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2º Suspender as atividades, atos e prazos processuais, no âmbito do Ministério Público do Estado de Alagoas, no dia 20 de junho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1º, 02, 03, 04, 07 e 08 de julho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3º Suspender as atividades, atos e prazos processuais, no âmbito do Ministério Público do Estado de Alagoas, no dia 15 de setembro (segunda-feira).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17, 18, 19, 22, 23 e 24 de setembro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4º Suspender as atividades, atos e prazos processuais, no âmbito do Ministério Público do Estado de Alagoas, no dia 27 de outubro (segunda-feira).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29, 30, 31 de outubro e 02, 04 e 05 de novembro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30"/>
        <w:jc w:val="both"/>
      </w:pPr>
      <w:r>
        <w:rPr/>
        <w:t>Art. 5º Suspender as atividades, atos e prazos processuais, no âmbito do Ministério Público do Estado de Alagoas, no dia 21 de novembro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24, 25, 26, 27 e 28 de novembro e 1º de dezembro do corrente </w:t>
      </w:r>
      <w:r>
        <w:rPr>
          <w:spacing w:val="-4"/>
        </w:rPr>
        <w:t>ano.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2441"/>
      </w:pPr>
      <w:r>
        <w:rPr/>
        <w:t>Art.</w:t>
      </w:r>
      <w:r>
        <w:rPr>
          <w:spacing w:val="-3"/>
        </w:rPr>
        <w:t> </w:t>
      </w:r>
      <w:r>
        <w:rPr/>
        <w:t>6º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line="206" w:lineRule="exact"/>
        <w:ind w:left="234"/>
        <w:jc w:val="both"/>
      </w:pPr>
      <w:r>
        <w:rPr/>
        <w:t>Gabinete do Procurador-Geral de Justiça, em Maceió, 20 de março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  <w:jc w:val="both"/>
      </w:pPr>
      <w:r>
        <w:rPr/>
        <w:t>Procurador-Geral de </w:t>
      </w:r>
      <w:r>
        <w:rPr>
          <w:spacing w:val="-2"/>
        </w:rPr>
        <w:t>Justiça</w:t>
      </w:r>
    </w:p>
    <w:sectPr>
      <w:footerReference w:type="default" r:id="rId5"/>
      <w:type w:val="continuous"/>
      <w:pgSz w:w="11900" w:h="16840"/>
      <w:pgMar w:header="0" w:footer="725" w:top="80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062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2025-07-18T12:26:39Z</dcterms:created>
  <dcterms:modified xsi:type="dcterms:W3CDTF">2025-07-18T12:26:39Z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