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12" w:lineRule="auto" w:before="76"/>
        <w:ind w:left="8251" w:right="0" w:hanging="1270"/>
        <w:jc w:val="left"/>
        <w:rPr>
          <w:sz w:val="10"/>
        </w:rPr>
      </w:pPr>
      <w:r>
        <w:rPr>
          <w:sz w:val="10"/>
        </w:rPr>
        <w:t>Assinado</w:t>
      </w:r>
      <w:r>
        <w:rPr>
          <w:spacing w:val="-5"/>
          <w:sz w:val="10"/>
        </w:rPr>
        <w:t> </w:t>
      </w:r>
      <w:r>
        <w:rPr>
          <w:sz w:val="10"/>
        </w:rPr>
        <w:t>digitalmente</w:t>
      </w:r>
      <w:r>
        <w:rPr>
          <w:spacing w:val="-5"/>
          <w:sz w:val="10"/>
        </w:rPr>
        <w:t> </w:t>
      </w:r>
      <w:r>
        <w:rPr>
          <w:sz w:val="10"/>
        </w:rPr>
        <w:t>por:</w:t>
      </w:r>
      <w:r>
        <w:rPr>
          <w:spacing w:val="-5"/>
          <w:sz w:val="10"/>
        </w:rPr>
        <w:t> </w:t>
      </w:r>
      <w:r>
        <w:rPr>
          <w:sz w:val="10"/>
        </w:rPr>
        <w:t>PROCURADORIA</w:t>
      </w:r>
      <w:r>
        <w:rPr>
          <w:spacing w:val="-5"/>
          <w:sz w:val="10"/>
        </w:rPr>
        <w:t> </w:t>
      </w:r>
      <w:r>
        <w:rPr>
          <w:sz w:val="10"/>
        </w:rPr>
        <w:t>GERAL</w:t>
      </w:r>
      <w:r>
        <w:rPr>
          <w:spacing w:val="-5"/>
          <w:sz w:val="10"/>
        </w:rPr>
        <w:t> </w:t>
      </w:r>
      <w:r>
        <w:rPr>
          <w:sz w:val="10"/>
        </w:rPr>
        <w:t>DE</w:t>
      </w:r>
      <w:r>
        <w:rPr>
          <w:spacing w:val="-5"/>
          <w:sz w:val="10"/>
        </w:rPr>
        <w:t> </w:t>
      </w:r>
      <w:r>
        <w:rPr>
          <w:sz w:val="10"/>
        </w:rPr>
        <w:t>JUSTICA</w:t>
      </w:r>
      <w:r>
        <w:rPr>
          <w:spacing w:val="-5"/>
          <w:sz w:val="10"/>
        </w:rPr>
        <w:t> </w:t>
      </w:r>
      <w:r>
        <w:rPr>
          <w:sz w:val="10"/>
        </w:rPr>
        <w:t>DO</w:t>
      </w:r>
      <w:r>
        <w:rPr>
          <w:spacing w:val="-5"/>
          <w:sz w:val="10"/>
        </w:rPr>
        <w:t> </w:t>
      </w:r>
      <w:r>
        <w:rPr>
          <w:sz w:val="10"/>
        </w:rPr>
        <w:t>ESTADO</w:t>
      </w:r>
      <w:r>
        <w:rPr>
          <w:spacing w:val="-5"/>
          <w:sz w:val="10"/>
        </w:rPr>
        <w:t> </w:t>
      </w:r>
      <w:r>
        <w:rPr>
          <w:sz w:val="10"/>
        </w:rPr>
        <w:t>DE</w:t>
      </w:r>
      <w:r>
        <w:rPr>
          <w:spacing w:val="40"/>
          <w:sz w:val="10"/>
        </w:rPr>
        <w:t> </w:t>
      </w:r>
      <w:r>
        <w:rPr>
          <w:spacing w:val="-2"/>
          <w:sz w:val="10"/>
        </w:rPr>
        <w:t>ALAGOA:12472734000152.</w:t>
      </w:r>
    </w:p>
    <w:p>
      <w:pPr>
        <w:pStyle w:val="BodyText"/>
        <w:spacing w:before="15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456451</wp:posOffset>
            </wp:positionH>
            <wp:positionV relativeFrom="paragraph">
              <wp:posOffset>256817</wp:posOffset>
            </wp:positionV>
            <wp:extent cx="6686116" cy="786288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6116" cy="786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9538" w:val="left" w:leader="none"/>
        </w:tabs>
        <w:spacing w:before="134"/>
        <w:ind w:left="113"/>
      </w:pPr>
      <w:r>
        <w:rPr/>
        <w:t>Data de disponibilização: 4 de setembro de </w:t>
      </w:r>
      <w:r>
        <w:rPr>
          <w:spacing w:val="-4"/>
        </w:rPr>
        <w:t>2023</w:t>
      </w:r>
      <w:r>
        <w:rPr/>
        <w:tab/>
        <w:t>Edição nº </w:t>
      </w:r>
      <w:r>
        <w:rPr>
          <w:spacing w:val="-5"/>
        </w:rPr>
        <w:t>965</w:t>
      </w:r>
    </w:p>
    <w:p>
      <w:pPr>
        <w:pStyle w:val="BodyText"/>
        <w:spacing w:before="11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431800</wp:posOffset>
                </wp:positionH>
                <wp:positionV relativeFrom="paragraph">
                  <wp:posOffset>102841</wp:posOffset>
                </wp:positionV>
                <wp:extent cx="66929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69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2900" h="0">
                              <a:moveTo>
                                <a:pt x="0" y="0"/>
                              </a:moveTo>
                              <a:lnTo>
                                <a:pt x="66929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pt;margin-top:8.097782pt;width:527pt;height:.1pt;mso-position-horizontal-relative:page;mso-position-vertical-relative:paragraph;z-index:-15728128;mso-wrap-distance-left:0;mso-wrap-distance-right:0" id="docshape3" coordorigin="680,162" coordsize="10540,0" path="m680,162l11220,162e" filled="false" stroked="true" strokeweight=".5pt" strokecolor="#00336a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6" w:after="1"/>
        <w:rPr>
          <w:sz w:val="20"/>
        </w:rPr>
      </w:pPr>
    </w:p>
    <w:tbl>
      <w:tblPr>
        <w:tblW w:w="0" w:type="auto"/>
        <w:jc w:val="left"/>
        <w:tblInd w:w="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1"/>
        <w:gridCol w:w="3572"/>
        <w:gridCol w:w="3282"/>
      </w:tblGrid>
      <w:tr>
        <w:trPr>
          <w:trHeight w:val="511" w:hRule="atLeast"/>
        </w:trPr>
        <w:tc>
          <w:tcPr>
            <w:tcW w:w="10315" w:type="dxa"/>
            <w:gridSpan w:val="3"/>
            <w:tcBorders>
              <w:left w:val="single" w:sz="6" w:space="0" w:color="00336A"/>
            </w:tcBorders>
          </w:tcPr>
          <w:p>
            <w:pPr>
              <w:pStyle w:val="TableParagraph"/>
              <w:spacing w:line="171" w:lineRule="exact" w:before="79"/>
              <w:ind w:left="7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MÁRCIO ROBERTO TENÓRIO DE </w:t>
            </w:r>
            <w:r>
              <w:rPr>
                <w:rFonts w:ascii="Arial" w:hAnsi="Arial"/>
                <w:b/>
                <w:spacing w:val="-2"/>
                <w:sz w:val="15"/>
              </w:rPr>
              <w:t>ALBUQUERQUE</w:t>
            </w:r>
          </w:p>
          <w:p>
            <w:pPr>
              <w:pStyle w:val="TableParagraph"/>
              <w:spacing w:line="171" w:lineRule="exact"/>
              <w:ind w:left="7"/>
              <w:rPr>
                <w:sz w:val="15"/>
              </w:rPr>
            </w:pPr>
            <w:r>
              <w:rPr>
                <w:sz w:val="15"/>
              </w:rPr>
              <w:t>PROCURADOR-GERAL DE </w:t>
            </w:r>
            <w:r>
              <w:rPr>
                <w:spacing w:val="-2"/>
                <w:sz w:val="15"/>
              </w:rPr>
              <w:t>JUSTIÇA</w:t>
            </w:r>
          </w:p>
        </w:tc>
      </w:tr>
      <w:tr>
        <w:trPr>
          <w:trHeight w:val="258" w:hRule="atLeast"/>
        </w:trPr>
        <w:tc>
          <w:tcPr>
            <w:tcW w:w="3461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48" w:right="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776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-329947</wp:posOffset>
                      </wp:positionV>
                      <wp:extent cx="6555105" cy="957580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6555105" cy="957580"/>
                                <a:chExt cx="6555105" cy="95758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762"/>
                                  <a:ext cx="6550025" cy="948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50025" h="948055">
                                      <a:moveTo>
                                        <a:pt x="0" y="947801"/>
                                      </a:moveTo>
                                      <a:lnTo>
                                        <a:pt x="6550025" y="947801"/>
                                      </a:lnTo>
                                    </a:path>
                                    <a:path w="6550025" h="948055">
                                      <a:moveTo>
                                        <a:pt x="6550025" y="947801"/>
                                      </a:moveTo>
                                      <a:lnTo>
                                        <a:pt x="6550025" y="0"/>
                                      </a:lnTo>
                                    </a:path>
                                    <a:path w="6550025" h="948055">
                                      <a:moveTo>
                                        <a:pt x="655002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336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25.980097pt;width:516.15pt;height:75.4pt;mso-position-horizontal-relative:column;mso-position-vertical-relative:paragraph;z-index:-15838720" id="docshapegroup4" coordorigin="0,-520" coordsize="10323,1508">
                      <v:shape style="position:absolute;left:0;top:-513;width:10315;height:1493" id="docshape5" coordorigin="0,-512" coordsize="10315,1493" path="m0,980l10315,980m10315,980l10315,-512m10315,-512l0,-512e" filled="false" stroked="true" strokeweight=".75pt" strokecolor="#00336a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z w:val="15"/>
              </w:rPr>
              <w:t>LEAN ANTÔNIO FERREIRA DE </w:t>
            </w:r>
            <w:r>
              <w:rPr>
                <w:rFonts w:ascii="Arial" w:hAnsi="Arial"/>
                <w:b/>
                <w:spacing w:val="-2"/>
                <w:sz w:val="15"/>
              </w:rPr>
              <w:t>ARAÚJO</w:t>
            </w:r>
          </w:p>
        </w:tc>
        <w:tc>
          <w:tcPr>
            <w:tcW w:w="3572" w:type="dxa"/>
          </w:tcPr>
          <w:p>
            <w:pPr>
              <w:pStyle w:val="TableParagraph"/>
              <w:spacing w:line="153" w:lineRule="exact" w:before="85"/>
              <w:ind w:right="183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SÉRGIO ROCHA CAVALCANTI </w:t>
            </w:r>
            <w:r>
              <w:rPr>
                <w:rFonts w:ascii="Arial" w:hAnsi="Arial"/>
                <w:b/>
                <w:spacing w:val="-4"/>
                <w:sz w:val="15"/>
              </w:rPr>
              <w:t>JUCÁ</w:t>
            </w:r>
          </w:p>
        </w:tc>
        <w:tc>
          <w:tcPr>
            <w:tcW w:w="3282" w:type="dxa"/>
          </w:tcPr>
          <w:p>
            <w:pPr>
              <w:pStyle w:val="TableParagraph"/>
              <w:spacing w:line="153" w:lineRule="exact" w:before="85"/>
              <w:ind w:right="223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VALTER JOSÉ DE OMENA </w:t>
            </w:r>
            <w:r>
              <w:rPr>
                <w:rFonts w:ascii="Arial" w:hAnsi="Arial"/>
                <w:b/>
                <w:spacing w:val="-2"/>
                <w:sz w:val="15"/>
              </w:rPr>
              <w:t>ACIOLY</w:t>
            </w:r>
          </w:p>
        </w:tc>
      </w:tr>
      <w:tr>
        <w:trPr>
          <w:trHeight w:val="221" w:hRule="atLeast"/>
        </w:trPr>
        <w:tc>
          <w:tcPr>
            <w:tcW w:w="3461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68" w:lineRule="exact"/>
              <w:ind w:left="48"/>
              <w:rPr>
                <w:sz w:val="15"/>
              </w:rPr>
            </w:pPr>
            <w:r>
              <w:rPr>
                <w:sz w:val="15"/>
              </w:rPr>
              <w:t>Subprocurador-Geral Administrativo-</w:t>
            </w:r>
            <w:r>
              <w:rPr>
                <w:spacing w:val="-2"/>
                <w:sz w:val="15"/>
              </w:rPr>
              <w:t>Institucional</w:t>
            </w:r>
          </w:p>
        </w:tc>
        <w:tc>
          <w:tcPr>
            <w:tcW w:w="3572" w:type="dxa"/>
          </w:tcPr>
          <w:p>
            <w:pPr>
              <w:pStyle w:val="TableParagraph"/>
              <w:spacing w:line="168" w:lineRule="exact"/>
              <w:ind w:left="1" w:right="183"/>
              <w:rPr>
                <w:sz w:val="15"/>
              </w:rPr>
            </w:pPr>
            <w:r>
              <w:rPr>
                <w:sz w:val="15"/>
              </w:rPr>
              <w:t>Subprocurador-Geral </w:t>
            </w:r>
            <w:r>
              <w:rPr>
                <w:spacing w:val="-2"/>
                <w:sz w:val="15"/>
              </w:rPr>
              <w:t>Judicial</w:t>
            </w:r>
          </w:p>
        </w:tc>
        <w:tc>
          <w:tcPr>
            <w:tcW w:w="3282" w:type="dxa"/>
          </w:tcPr>
          <w:p>
            <w:pPr>
              <w:pStyle w:val="TableParagraph"/>
              <w:spacing w:line="168" w:lineRule="exact"/>
              <w:ind w:right="223"/>
              <w:rPr>
                <w:sz w:val="15"/>
              </w:rPr>
            </w:pPr>
            <w:r>
              <w:rPr>
                <w:sz w:val="15"/>
              </w:rPr>
              <w:t>Subprocurador-Geral </w:t>
            </w:r>
            <w:r>
              <w:rPr>
                <w:spacing w:val="-2"/>
                <w:sz w:val="15"/>
              </w:rPr>
              <w:t>Recursal</w:t>
            </w:r>
          </w:p>
        </w:tc>
      </w:tr>
      <w:tr>
        <w:trPr>
          <w:trHeight w:val="501" w:hRule="atLeast"/>
        </w:trPr>
        <w:tc>
          <w:tcPr>
            <w:tcW w:w="10315" w:type="dxa"/>
            <w:gridSpan w:val="3"/>
            <w:tcBorders>
              <w:left w:val="single" w:sz="6" w:space="0" w:color="00336A"/>
            </w:tcBorders>
          </w:tcPr>
          <w:p>
            <w:pPr>
              <w:pStyle w:val="TableParagraph"/>
              <w:tabs>
                <w:tab w:pos="6632" w:val="left" w:leader="none"/>
              </w:tabs>
              <w:spacing w:line="171" w:lineRule="exact" w:before="48"/>
              <w:ind w:left="1347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MAURÍCIO ANDRÉ BARROS </w:t>
            </w:r>
            <w:r>
              <w:rPr>
                <w:rFonts w:ascii="Arial" w:hAnsi="Arial"/>
                <w:b/>
                <w:spacing w:val="-2"/>
                <w:sz w:val="15"/>
              </w:rPr>
              <w:t>PITTA</w:t>
            </w:r>
            <w:r>
              <w:rPr>
                <w:rFonts w:ascii="Arial" w:hAnsi="Arial"/>
                <w:b/>
                <w:sz w:val="15"/>
              </w:rPr>
              <w:tab/>
              <w:t>EDUARDO</w:t>
            </w:r>
            <w:r>
              <w:rPr>
                <w:rFonts w:ascii="Arial" w:hAnsi="Arial"/>
                <w:b/>
                <w:spacing w:val="-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TAVARES </w:t>
            </w:r>
            <w:r>
              <w:rPr>
                <w:rFonts w:ascii="Arial" w:hAnsi="Arial"/>
                <w:b/>
                <w:spacing w:val="-2"/>
                <w:sz w:val="15"/>
              </w:rPr>
              <w:t>MENDES</w:t>
            </w:r>
          </w:p>
          <w:p>
            <w:pPr>
              <w:pStyle w:val="TableParagraph"/>
              <w:tabs>
                <w:tab w:pos="6757" w:val="left" w:leader="none"/>
              </w:tabs>
              <w:spacing w:line="171" w:lineRule="exact"/>
              <w:ind w:left="1297"/>
              <w:jc w:val="left"/>
              <w:rPr>
                <w:sz w:val="15"/>
              </w:rPr>
            </w:pPr>
            <w:r>
              <w:rPr>
                <w:sz w:val="15"/>
              </w:rPr>
              <w:t>Corregedor-Geral do Ministério </w:t>
            </w:r>
            <w:r>
              <w:rPr>
                <w:spacing w:val="-2"/>
                <w:sz w:val="15"/>
              </w:rPr>
              <w:t>Público</w:t>
            </w:r>
            <w:r>
              <w:rPr>
                <w:sz w:val="15"/>
              </w:rPr>
              <w:tab/>
              <w:t>Ouvidor do Ministério </w:t>
            </w:r>
            <w:r>
              <w:rPr>
                <w:spacing w:val="-2"/>
                <w:sz w:val="15"/>
              </w:rPr>
              <w:t>Público</w:t>
            </w:r>
          </w:p>
        </w:tc>
      </w:tr>
    </w:tbl>
    <w:p>
      <w:pPr>
        <w:pStyle w:val="BodyText"/>
        <w:spacing w:before="11"/>
        <w:rPr>
          <w:sz w:val="7"/>
        </w:rPr>
      </w:pPr>
    </w:p>
    <w:tbl>
      <w:tblPr>
        <w:tblW w:w="0" w:type="auto"/>
        <w:jc w:val="left"/>
        <w:tblInd w:w="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1"/>
        <w:gridCol w:w="3572"/>
        <w:gridCol w:w="3282"/>
      </w:tblGrid>
      <w:tr>
        <w:trPr>
          <w:trHeight w:val="344" w:hRule="atLeast"/>
        </w:trPr>
        <w:tc>
          <w:tcPr>
            <w:tcW w:w="3461" w:type="dxa"/>
            <w:vMerge w:val="restart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572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68" w:lineRule="exact"/>
              <w:ind w:left="21" w:right="183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COLÉGIO DE PROCURADORES DE </w:t>
            </w:r>
            <w:r>
              <w:rPr>
                <w:rFonts w:ascii="Arial" w:hAnsi="Arial"/>
                <w:b/>
                <w:spacing w:val="-2"/>
                <w:sz w:val="15"/>
              </w:rPr>
              <w:t>JUSTIÇA</w:t>
            </w:r>
          </w:p>
          <w:p>
            <w:pPr>
              <w:pStyle w:val="TableParagraph"/>
              <w:spacing w:line="157" w:lineRule="exact"/>
              <w:ind w:left="22" w:right="183"/>
              <w:rPr>
                <w:sz w:val="15"/>
              </w:rPr>
            </w:pPr>
            <w:r>
              <w:rPr>
                <w:sz w:val="15"/>
              </w:rPr>
              <w:t>Márcio Roberto Tenório de </w:t>
            </w:r>
            <w:r>
              <w:rPr>
                <w:spacing w:val="-2"/>
                <w:sz w:val="15"/>
              </w:rPr>
              <w:t>Albuquerque</w:t>
            </w:r>
          </w:p>
        </w:tc>
        <w:tc>
          <w:tcPr>
            <w:tcW w:w="3282" w:type="dxa"/>
            <w:vMerge w:val="restart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3461" w:type="dxa"/>
            <w:vMerge/>
            <w:tcBorders>
              <w:top w:val="nil"/>
              <w:left w:val="single" w:sz="6" w:space="0" w:color="00336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2" w:type="dxa"/>
          </w:tcPr>
          <w:p>
            <w:pPr>
              <w:pStyle w:val="TableParagraph"/>
              <w:spacing w:line="240" w:lineRule="auto" w:before="1"/>
              <w:ind w:left="21" w:right="18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Presidente</w:t>
            </w:r>
          </w:p>
        </w:tc>
        <w:tc>
          <w:tcPr>
            <w:tcW w:w="3282" w:type="dxa"/>
            <w:vMerge/>
            <w:tcBorders>
              <w:top w:val="nil"/>
              <w:right w:val="single" w:sz="6" w:space="0" w:color="00336A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3461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48" w:right="23"/>
              <w:rPr>
                <w:sz w:val="15"/>
              </w:rPr>
            </w:pPr>
            <w:r>
              <w:rPr>
                <w:sz w:val="15"/>
              </w:rPr>
              <w:t>Sérgio Rocha Cavalcanti </w:t>
            </w:r>
            <w:r>
              <w:rPr>
                <w:spacing w:val="-4"/>
                <w:sz w:val="15"/>
              </w:rPr>
              <w:t>Jucá</w:t>
            </w:r>
          </w:p>
        </w:tc>
        <w:tc>
          <w:tcPr>
            <w:tcW w:w="3572" w:type="dxa"/>
          </w:tcPr>
          <w:p>
            <w:pPr>
              <w:pStyle w:val="TableParagraph"/>
              <w:spacing w:line="153" w:lineRule="exact" w:before="85"/>
              <w:ind w:right="871"/>
              <w:jc w:val="right"/>
              <w:rPr>
                <w:sz w:val="15"/>
              </w:rPr>
            </w:pPr>
            <w:r>
              <w:rPr>
                <w:sz w:val="15"/>
              </w:rPr>
              <w:t>Walber José Valente de </w:t>
            </w:r>
            <w:r>
              <w:rPr>
                <w:spacing w:val="-4"/>
                <w:sz w:val="15"/>
              </w:rPr>
              <w:t>Lima</w:t>
            </w:r>
          </w:p>
        </w:tc>
        <w:tc>
          <w:tcPr>
            <w:tcW w:w="3282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1" w:right="142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</w:tr>
      <w:tr>
        <w:trPr>
          <w:trHeight w:val="168" w:hRule="atLeast"/>
        </w:trPr>
        <w:tc>
          <w:tcPr>
            <w:tcW w:w="3461" w:type="dxa"/>
            <w:tcBorders>
              <w:left w:val="single" w:sz="6" w:space="0" w:color="00336A"/>
            </w:tcBorders>
          </w:tcPr>
          <w:p>
            <w:pPr>
              <w:pStyle w:val="TableParagraph"/>
              <w:ind w:left="48" w:right="23"/>
              <w:rPr>
                <w:sz w:val="15"/>
              </w:rPr>
            </w:pPr>
            <w:r>
              <w:rPr>
                <w:sz w:val="15"/>
              </w:rPr>
              <w:t>Dennis Lima </w:t>
            </w:r>
            <w:r>
              <w:rPr>
                <w:spacing w:val="-2"/>
                <w:sz w:val="15"/>
              </w:rPr>
              <w:t>Calheiros</w:t>
            </w:r>
          </w:p>
        </w:tc>
        <w:tc>
          <w:tcPr>
            <w:tcW w:w="3572" w:type="dxa"/>
          </w:tcPr>
          <w:p>
            <w:pPr>
              <w:pStyle w:val="TableParagraph"/>
              <w:ind w:left="1022"/>
              <w:jc w:val="left"/>
              <w:rPr>
                <w:sz w:val="15"/>
              </w:rPr>
            </w:pPr>
            <w:r>
              <w:rPr>
                <w:sz w:val="15"/>
              </w:rPr>
              <w:t>Vicente Felix </w:t>
            </w:r>
            <w:r>
              <w:rPr>
                <w:spacing w:val="-2"/>
                <w:sz w:val="15"/>
              </w:rPr>
              <w:t>Correia</w:t>
            </w:r>
          </w:p>
        </w:tc>
        <w:tc>
          <w:tcPr>
            <w:tcW w:w="3282" w:type="dxa"/>
            <w:tcBorders>
              <w:right w:val="single" w:sz="6" w:space="0" w:color="00336A"/>
            </w:tcBorders>
          </w:tcPr>
          <w:p>
            <w:pPr>
              <w:pStyle w:val="TableParagraph"/>
              <w:ind w:left="1" w:right="142"/>
              <w:rPr>
                <w:sz w:val="15"/>
              </w:rPr>
            </w:pPr>
            <w:r>
              <w:rPr>
                <w:sz w:val="15"/>
              </w:rPr>
              <w:t>Eduardo Tavares </w:t>
            </w:r>
            <w:r>
              <w:rPr>
                <w:spacing w:val="-2"/>
                <w:sz w:val="15"/>
              </w:rPr>
              <w:t>Mendes</w:t>
            </w:r>
          </w:p>
        </w:tc>
      </w:tr>
      <w:tr>
        <w:trPr>
          <w:trHeight w:val="168" w:hRule="atLeast"/>
        </w:trPr>
        <w:tc>
          <w:tcPr>
            <w:tcW w:w="3461" w:type="dxa"/>
            <w:tcBorders>
              <w:left w:val="single" w:sz="6" w:space="0" w:color="00336A"/>
            </w:tcBorders>
          </w:tcPr>
          <w:p>
            <w:pPr>
              <w:pStyle w:val="TableParagraph"/>
              <w:ind w:left="48" w:right="23"/>
              <w:rPr>
                <w:sz w:val="15"/>
              </w:rPr>
            </w:pPr>
            <w:r>
              <w:rPr>
                <w:sz w:val="15"/>
              </w:rPr>
              <w:t>Márcio Roberto Tenório de </w:t>
            </w:r>
            <w:r>
              <w:rPr>
                <w:spacing w:val="-2"/>
                <w:sz w:val="15"/>
              </w:rPr>
              <w:t>Albuquerque</w:t>
            </w:r>
          </w:p>
        </w:tc>
        <w:tc>
          <w:tcPr>
            <w:tcW w:w="3572" w:type="dxa"/>
          </w:tcPr>
          <w:p>
            <w:pPr>
              <w:pStyle w:val="TableParagraph"/>
              <w:ind w:left="1039"/>
              <w:jc w:val="left"/>
              <w:rPr>
                <w:sz w:val="15"/>
              </w:rPr>
            </w:pPr>
            <w:r>
              <w:rPr>
                <w:sz w:val="15"/>
              </w:rPr>
              <w:t>Marcos Barros </w:t>
            </w:r>
            <w:r>
              <w:rPr>
                <w:spacing w:val="-4"/>
                <w:sz w:val="15"/>
              </w:rPr>
              <w:t>Méro</w:t>
            </w:r>
          </w:p>
        </w:tc>
        <w:tc>
          <w:tcPr>
            <w:tcW w:w="3282" w:type="dxa"/>
            <w:tcBorders>
              <w:right w:val="single" w:sz="6" w:space="0" w:color="00336A"/>
            </w:tcBorders>
          </w:tcPr>
          <w:p>
            <w:pPr>
              <w:pStyle w:val="TableParagraph"/>
              <w:ind w:right="142"/>
              <w:rPr>
                <w:sz w:val="15"/>
              </w:rPr>
            </w:pPr>
            <w:r>
              <w:rPr>
                <w:sz w:val="15"/>
              </w:rPr>
              <w:t>Valter José de Omena </w:t>
            </w:r>
            <w:r>
              <w:rPr>
                <w:spacing w:val="-2"/>
                <w:sz w:val="15"/>
              </w:rPr>
              <w:t>Acioly</w:t>
            </w:r>
          </w:p>
        </w:tc>
      </w:tr>
      <w:tr>
        <w:trPr>
          <w:trHeight w:val="168" w:hRule="atLeast"/>
        </w:trPr>
        <w:tc>
          <w:tcPr>
            <w:tcW w:w="3461" w:type="dxa"/>
            <w:tcBorders>
              <w:left w:val="single" w:sz="6" w:space="0" w:color="00336A"/>
            </w:tcBorders>
          </w:tcPr>
          <w:p>
            <w:pPr>
              <w:pStyle w:val="TableParagraph"/>
              <w:ind w:left="48" w:right="24"/>
              <w:rPr>
                <w:sz w:val="15"/>
              </w:rPr>
            </w:pPr>
            <w:r>
              <w:rPr>
                <w:sz w:val="15"/>
              </w:rPr>
              <w:t>Denise Guimarães de </w:t>
            </w:r>
            <w:r>
              <w:rPr>
                <w:spacing w:val="-2"/>
                <w:sz w:val="15"/>
              </w:rPr>
              <w:t>Oliveira</w:t>
            </w:r>
          </w:p>
        </w:tc>
        <w:tc>
          <w:tcPr>
            <w:tcW w:w="3572" w:type="dxa"/>
          </w:tcPr>
          <w:p>
            <w:pPr>
              <w:pStyle w:val="TableParagraph"/>
              <w:ind w:right="929"/>
              <w:jc w:val="right"/>
              <w:rPr>
                <w:sz w:val="15"/>
              </w:rPr>
            </w:pPr>
            <w:r>
              <w:rPr>
                <w:sz w:val="15"/>
              </w:rPr>
              <w:t>Maurício André Barros </w:t>
            </w:r>
            <w:r>
              <w:rPr>
                <w:spacing w:val="-2"/>
                <w:sz w:val="15"/>
              </w:rPr>
              <w:t>Pitta</w:t>
            </w:r>
          </w:p>
        </w:tc>
        <w:tc>
          <w:tcPr>
            <w:tcW w:w="3282" w:type="dxa"/>
            <w:tcBorders>
              <w:right w:val="single" w:sz="6" w:space="0" w:color="00336A"/>
            </w:tcBorders>
          </w:tcPr>
          <w:p>
            <w:pPr>
              <w:pStyle w:val="TableParagraph"/>
              <w:ind w:right="142"/>
              <w:rPr>
                <w:sz w:val="15"/>
              </w:rPr>
            </w:pPr>
            <w:r>
              <w:rPr>
                <w:sz w:val="15"/>
              </w:rPr>
              <w:t>Isaac Sandes </w:t>
            </w:r>
            <w:r>
              <w:rPr>
                <w:spacing w:val="-4"/>
                <w:sz w:val="15"/>
              </w:rPr>
              <w:t>Dias</w:t>
            </w:r>
          </w:p>
        </w:tc>
      </w:tr>
      <w:tr>
        <w:trPr>
          <w:trHeight w:val="366" w:hRule="atLeast"/>
        </w:trPr>
        <w:tc>
          <w:tcPr>
            <w:tcW w:w="3461" w:type="dxa"/>
            <w:tcBorders>
              <w:left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166" w:lineRule="exact"/>
              <w:ind w:left="48" w:right="24"/>
              <w:rPr>
                <w:sz w:val="15"/>
              </w:rPr>
            </w:pPr>
            <w:r>
              <w:rPr>
                <w:sz w:val="15"/>
              </w:rPr>
              <w:t>Sérgio Amaral </w:t>
            </w:r>
            <w:r>
              <w:rPr>
                <w:spacing w:val="-2"/>
                <w:sz w:val="15"/>
              </w:rPr>
              <w:t>Scala</w:t>
            </w:r>
          </w:p>
          <w:p>
            <w:pPr>
              <w:pStyle w:val="TableParagraph"/>
              <w:spacing w:line="171" w:lineRule="exact"/>
              <w:ind w:left="48" w:right="24"/>
              <w:rPr>
                <w:sz w:val="15"/>
              </w:rPr>
            </w:pPr>
            <w:r>
              <w:rPr>
                <w:sz w:val="15"/>
              </w:rPr>
              <w:t>Kícia Oliveira Cabral de </w:t>
            </w:r>
            <w:r>
              <w:rPr>
                <w:spacing w:val="-2"/>
                <w:sz w:val="15"/>
              </w:rPr>
              <w:t>Vasconcellos</w:t>
            </w:r>
          </w:p>
        </w:tc>
        <w:tc>
          <w:tcPr>
            <w:tcW w:w="3572" w:type="dxa"/>
            <w:tcBorders>
              <w:bottom w:val="single" w:sz="6" w:space="0" w:color="00336A"/>
            </w:tcBorders>
          </w:tcPr>
          <w:p>
            <w:pPr>
              <w:pStyle w:val="TableParagraph"/>
              <w:spacing w:line="235" w:lineRule="auto"/>
              <w:ind w:left="747" w:right="872" w:firstLine="58"/>
              <w:jc w:val="left"/>
              <w:rPr>
                <w:sz w:val="15"/>
              </w:rPr>
            </w:pPr>
            <w:r>
              <w:rPr>
                <w:sz w:val="15"/>
              </w:rPr>
              <w:t>Helder de Arthur Jucá Filho Neide Maria Camelo da </w:t>
            </w:r>
            <w:r>
              <w:rPr>
                <w:spacing w:val="-2"/>
                <w:sz w:val="15"/>
              </w:rPr>
              <w:t>Silva</w:t>
            </w:r>
          </w:p>
        </w:tc>
        <w:tc>
          <w:tcPr>
            <w:tcW w:w="3282" w:type="dxa"/>
            <w:tcBorders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left="1" w:right="142"/>
              <w:rPr>
                <w:sz w:val="15"/>
              </w:rPr>
            </w:pPr>
            <w:r>
              <w:rPr>
                <w:sz w:val="15"/>
              </w:rPr>
              <w:t>Maria Marluce Caldas </w:t>
            </w:r>
            <w:r>
              <w:rPr>
                <w:spacing w:val="-2"/>
                <w:sz w:val="15"/>
              </w:rPr>
              <w:t>Bezerra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1816100</wp:posOffset>
                </wp:positionH>
                <wp:positionV relativeFrom="paragraph">
                  <wp:posOffset>207911</wp:posOffset>
                </wp:positionV>
                <wp:extent cx="392430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 h="0">
                              <a:moveTo>
                                <a:pt x="0" y="0"/>
                              </a:moveTo>
                              <a:lnTo>
                                <a:pt x="39243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pt;margin-top:16.370977pt;width:309pt;height:.1pt;mso-position-horizontal-relative:page;mso-position-vertical-relative:paragraph;z-index:-15727616;mso-wrap-distance-left:0;mso-wrap-distance-right:0" id="docshape6" coordorigin="2860,327" coordsize="6180,0" path="m2860,327l9040,327e" filled="false" stroked="true" strokeweight="1.5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Title"/>
      </w:pPr>
      <w:r>
        <w:rPr/>
        <w:t>Procuradoria-Geral de </w:t>
      </w:r>
      <w:r>
        <w:rPr>
          <w:spacing w:val="-2"/>
        </w:rPr>
        <w:t>Justiça</w:t>
      </w:r>
    </w:p>
    <w:p>
      <w:pPr>
        <w:pStyle w:val="BodyText"/>
        <w:spacing w:before="10"/>
        <w:rPr>
          <w:rFonts w:ascii="Arial"/>
          <w:b/>
          <w:sz w:val="3"/>
        </w:rPr>
      </w:pPr>
      <w:r>
        <w:rPr>
          <w:rFonts w:ascii="Arial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1816100</wp:posOffset>
                </wp:positionH>
                <wp:positionV relativeFrom="paragraph">
                  <wp:posOffset>43956</wp:posOffset>
                </wp:positionV>
                <wp:extent cx="39243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 h="0">
                              <a:moveTo>
                                <a:pt x="0" y="0"/>
                              </a:moveTo>
                              <a:lnTo>
                                <a:pt x="39243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pt;margin-top:3.461172pt;width:309pt;height:.1pt;mso-position-horizontal-relative:page;mso-position-vertical-relative:paragraph;z-index:-15727104;mso-wrap-distance-left:0;mso-wrap-distance-right:0" id="docshape7" coordorigin="2860,69" coordsize="6180,0" path="m2860,69l9040,69e" filled="false" stroked="true" strokeweight="1.5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152"/>
      </w:pPr>
      <w:r>
        <w:rPr>
          <w:spacing w:val="-4"/>
        </w:rPr>
        <w:t>Atos</w:t>
      </w:r>
    </w:p>
    <w:p>
      <w:pPr>
        <w:pStyle w:val="BodyText"/>
        <w:spacing w:before="41"/>
        <w:rPr>
          <w:rFonts w:ascii="Arial"/>
          <w:b/>
        </w:rPr>
      </w:pPr>
    </w:p>
    <w:p>
      <w:pPr>
        <w:pStyle w:val="BodyText"/>
        <w:ind w:left="234"/>
      </w:pPr>
      <w:r>
        <w:rPr>
          <w:u w:val="single"/>
        </w:rPr>
        <w:t>ATO DE APOSENTADORIA Nº </w:t>
      </w:r>
      <w:r>
        <w:rPr>
          <w:spacing w:val="-2"/>
          <w:u w:val="single"/>
        </w:rPr>
        <w:t>4/2023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6"/>
      </w:pPr>
    </w:p>
    <w:p>
      <w:pPr>
        <w:pStyle w:val="BodyText"/>
        <w:spacing w:line="249" w:lineRule="auto"/>
        <w:ind w:left="789" w:right="1528" w:firstLine="538"/>
      </w:pPr>
      <w:r>
        <w:rPr/>
        <w:t>O PROCURADOR-GERAL DE JUSTIÇA DO ESTADO DE ALAGOAS, no uso da atribuição que</w:t>
      </w:r>
      <w:r>
        <w:rPr>
          <w:spacing w:val="40"/>
        </w:rPr>
        <w:t> </w:t>
      </w:r>
      <w:r>
        <w:rPr/>
        <w:t>lhe confere o artigo 143, inciso V, da Constituição Estadual, e artigo 9º, inciso VII, da Lei Complementar nº. 15/1996, tendo em vista o que consta do Processo GED nº 20.08.1365.00041352023-72, RESOLVE conceder</w:t>
      </w:r>
      <w:r>
        <w:rPr>
          <w:spacing w:val="40"/>
        </w:rPr>
        <w:t> </w:t>
      </w:r>
      <w:r>
        <w:rPr/>
        <w:t>aposentadoria</w:t>
      </w:r>
      <w:r>
        <w:rPr>
          <w:spacing w:val="40"/>
        </w:rPr>
        <w:t> </w:t>
      </w:r>
      <w:r>
        <w:rPr/>
        <w:t>voluntária</w:t>
      </w:r>
      <w:r>
        <w:rPr>
          <w:spacing w:val="40"/>
        </w:rPr>
        <w:t> </w:t>
      </w:r>
      <w:r>
        <w:rPr/>
        <w:t>por</w:t>
      </w:r>
      <w:r>
        <w:rPr>
          <w:spacing w:val="40"/>
        </w:rPr>
        <w:t> </w:t>
      </w:r>
      <w:r>
        <w:rPr/>
        <w:t>tempo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contribuição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idade</w:t>
      </w:r>
      <w:r>
        <w:rPr>
          <w:spacing w:val="40"/>
        </w:rPr>
        <w:t> </w:t>
      </w:r>
      <w:r>
        <w:rPr/>
        <w:t>mínima</w:t>
      </w:r>
      <w:r>
        <w:rPr>
          <w:spacing w:val="40"/>
        </w:rPr>
        <w:t> </w:t>
      </w:r>
      <w:r>
        <w:rPr/>
        <w:t>ao</w:t>
      </w:r>
      <w:r>
        <w:rPr>
          <w:spacing w:val="40"/>
        </w:rPr>
        <w:t> </w:t>
      </w:r>
      <w:r>
        <w:rPr/>
        <w:t>Doutor</w:t>
      </w:r>
      <w:r>
        <w:rPr>
          <w:spacing w:val="40"/>
        </w:rPr>
        <w:t> </w:t>
      </w:r>
      <w:r>
        <w:rPr/>
        <w:t>Fernando Padilha</w:t>
      </w:r>
      <w:r>
        <w:rPr>
          <w:spacing w:val="37"/>
        </w:rPr>
        <w:t> </w:t>
      </w:r>
      <w:r>
        <w:rPr/>
        <w:t>Alves,</w:t>
      </w:r>
      <w:r>
        <w:rPr>
          <w:spacing w:val="37"/>
        </w:rPr>
        <w:t> </w:t>
      </w:r>
      <w:r>
        <w:rPr/>
        <w:t>Promotor</w:t>
      </w:r>
      <w:r>
        <w:rPr>
          <w:spacing w:val="37"/>
        </w:rPr>
        <w:t> </w:t>
      </w:r>
      <w:r>
        <w:rPr/>
        <w:t>de</w:t>
      </w:r>
      <w:r>
        <w:rPr>
          <w:spacing w:val="37"/>
        </w:rPr>
        <w:t> </w:t>
      </w:r>
      <w:r>
        <w:rPr/>
        <w:t>Justiça,</w:t>
      </w:r>
      <w:r>
        <w:rPr>
          <w:spacing w:val="37"/>
        </w:rPr>
        <w:t> </w:t>
      </w:r>
      <w:r>
        <w:rPr/>
        <w:t>de</w:t>
      </w:r>
      <w:r>
        <w:rPr>
          <w:spacing w:val="37"/>
        </w:rPr>
        <w:t> </w:t>
      </w:r>
      <w:r>
        <w:rPr/>
        <w:t>2ª</w:t>
      </w:r>
      <w:r>
        <w:rPr>
          <w:spacing w:val="37"/>
        </w:rPr>
        <w:t> </w:t>
      </w:r>
      <w:r>
        <w:rPr/>
        <w:t>entrância,</w:t>
      </w:r>
      <w:r>
        <w:rPr>
          <w:spacing w:val="37"/>
        </w:rPr>
        <w:t> </w:t>
      </w:r>
      <w:r>
        <w:rPr/>
        <w:t>do</w:t>
      </w:r>
      <w:r>
        <w:rPr>
          <w:spacing w:val="37"/>
        </w:rPr>
        <w:t> </w:t>
      </w:r>
      <w:r>
        <w:rPr/>
        <w:t>Quadro</w:t>
      </w:r>
      <w:r>
        <w:rPr>
          <w:spacing w:val="37"/>
        </w:rPr>
        <w:t> </w:t>
      </w:r>
      <w:r>
        <w:rPr/>
        <w:t>do</w:t>
      </w:r>
      <w:r>
        <w:rPr>
          <w:spacing w:val="37"/>
        </w:rPr>
        <w:t> </w:t>
      </w:r>
      <w:r>
        <w:rPr/>
        <w:t>Ministério</w:t>
      </w:r>
      <w:r>
        <w:rPr>
          <w:spacing w:val="37"/>
        </w:rPr>
        <w:t> </w:t>
      </w:r>
      <w:r>
        <w:rPr/>
        <w:t>Público</w:t>
      </w:r>
      <w:r>
        <w:rPr>
          <w:spacing w:val="37"/>
        </w:rPr>
        <w:t> </w:t>
      </w:r>
      <w:r>
        <w:rPr/>
        <w:t>do</w:t>
      </w:r>
      <w:r>
        <w:rPr>
          <w:spacing w:val="37"/>
        </w:rPr>
        <w:t> </w:t>
      </w:r>
      <w:r>
        <w:rPr/>
        <w:t>Estado</w:t>
      </w:r>
      <w:r>
        <w:rPr>
          <w:spacing w:val="37"/>
        </w:rPr>
        <w:t> </w:t>
      </w:r>
      <w:r>
        <w:rPr/>
        <w:t>de Alagoas,</w:t>
      </w:r>
      <w:r>
        <w:rPr>
          <w:spacing w:val="22"/>
        </w:rPr>
        <w:t> </w:t>
      </w:r>
      <w:r>
        <w:rPr/>
        <w:t>matrícula</w:t>
      </w:r>
      <w:r>
        <w:rPr>
          <w:spacing w:val="22"/>
        </w:rPr>
        <w:t> </w:t>
      </w:r>
      <w:r>
        <w:rPr/>
        <w:t>nº</w:t>
      </w:r>
      <w:r>
        <w:rPr>
          <w:spacing w:val="22"/>
        </w:rPr>
        <w:t> </w:t>
      </w:r>
      <w:r>
        <w:rPr/>
        <w:t>69165-8,</w:t>
      </w:r>
      <w:r>
        <w:rPr>
          <w:spacing w:val="22"/>
        </w:rPr>
        <w:t> </w:t>
      </w:r>
      <w:r>
        <w:rPr/>
        <w:t>com</w:t>
      </w:r>
      <w:r>
        <w:rPr>
          <w:spacing w:val="22"/>
        </w:rPr>
        <w:t> </w:t>
      </w:r>
      <w:r>
        <w:rPr/>
        <w:t>proventos</w:t>
      </w:r>
      <w:r>
        <w:rPr>
          <w:spacing w:val="22"/>
        </w:rPr>
        <w:t> </w:t>
      </w:r>
      <w:r>
        <w:rPr/>
        <w:t>integrais,</w:t>
      </w:r>
      <w:r>
        <w:rPr>
          <w:spacing w:val="22"/>
        </w:rPr>
        <w:t> </w:t>
      </w:r>
      <w:r>
        <w:rPr/>
        <w:t>com</w:t>
      </w:r>
      <w:r>
        <w:rPr>
          <w:spacing w:val="22"/>
        </w:rPr>
        <w:t> </w:t>
      </w:r>
      <w:r>
        <w:rPr/>
        <w:t>garantia</w:t>
      </w:r>
      <w:r>
        <w:rPr>
          <w:spacing w:val="22"/>
        </w:rPr>
        <w:t> </w:t>
      </w:r>
      <w:r>
        <w:rPr/>
        <w:t>à</w:t>
      </w:r>
      <w:r>
        <w:rPr>
          <w:spacing w:val="22"/>
        </w:rPr>
        <w:t> </w:t>
      </w:r>
      <w:r>
        <w:rPr/>
        <w:t>paridade</w:t>
      </w:r>
      <w:r>
        <w:rPr>
          <w:spacing w:val="22"/>
        </w:rPr>
        <w:t> </w:t>
      </w:r>
      <w:r>
        <w:rPr/>
        <w:t>e</w:t>
      </w:r>
      <w:r>
        <w:rPr>
          <w:spacing w:val="22"/>
        </w:rPr>
        <w:t> </w:t>
      </w:r>
      <w:r>
        <w:rPr/>
        <w:t>integralidade,</w:t>
      </w:r>
      <w:r>
        <w:rPr>
          <w:spacing w:val="22"/>
        </w:rPr>
        <w:t> </w:t>
      </w:r>
      <w:r>
        <w:rPr/>
        <w:t>com base</w:t>
      </w:r>
      <w:r>
        <w:rPr>
          <w:spacing w:val="31"/>
        </w:rPr>
        <w:t> </w:t>
      </w:r>
      <w:r>
        <w:rPr/>
        <w:t>nas</w:t>
      </w:r>
      <w:r>
        <w:rPr>
          <w:spacing w:val="31"/>
        </w:rPr>
        <w:t> </w:t>
      </w:r>
      <w:r>
        <w:rPr/>
        <w:t>regras</w:t>
      </w:r>
      <w:r>
        <w:rPr>
          <w:spacing w:val="31"/>
        </w:rPr>
        <w:t> </w:t>
      </w:r>
      <w:r>
        <w:rPr/>
        <w:t>contidas</w:t>
      </w:r>
      <w:r>
        <w:rPr>
          <w:spacing w:val="31"/>
        </w:rPr>
        <w:t> </w:t>
      </w:r>
      <w:r>
        <w:rPr/>
        <w:t>no</w:t>
      </w:r>
      <w:r>
        <w:rPr>
          <w:spacing w:val="31"/>
        </w:rPr>
        <w:t> </w:t>
      </w:r>
      <w:r>
        <w:rPr/>
        <w:t>artigo</w:t>
      </w:r>
      <w:r>
        <w:rPr>
          <w:spacing w:val="31"/>
        </w:rPr>
        <w:t> </w:t>
      </w:r>
      <w:r>
        <w:rPr/>
        <w:t>27,</w:t>
      </w:r>
      <w:r>
        <w:rPr>
          <w:spacing w:val="31"/>
        </w:rPr>
        <w:t> </w:t>
      </w:r>
      <w:r>
        <w:rPr/>
        <w:t>§</w:t>
      </w:r>
      <w:r>
        <w:rPr>
          <w:spacing w:val="31"/>
        </w:rPr>
        <w:t> </w:t>
      </w:r>
      <w:r>
        <w:rPr/>
        <w:t>2º,</w:t>
      </w:r>
      <w:r>
        <w:rPr>
          <w:spacing w:val="31"/>
        </w:rPr>
        <w:t> </w:t>
      </w:r>
      <w:r>
        <w:rPr/>
        <w:t>I,</w:t>
      </w:r>
      <w:r>
        <w:rPr>
          <w:spacing w:val="31"/>
        </w:rPr>
        <w:t> </w:t>
      </w:r>
      <w:r>
        <w:rPr/>
        <w:t>da</w:t>
      </w:r>
      <w:r>
        <w:rPr>
          <w:spacing w:val="31"/>
        </w:rPr>
        <w:t> </w:t>
      </w:r>
      <w:r>
        <w:rPr/>
        <w:t>Lei</w:t>
      </w:r>
      <w:r>
        <w:rPr>
          <w:spacing w:val="31"/>
        </w:rPr>
        <w:t> </w:t>
      </w:r>
      <w:r>
        <w:rPr/>
        <w:t>Complementar</w:t>
      </w:r>
      <w:r>
        <w:rPr>
          <w:spacing w:val="31"/>
        </w:rPr>
        <w:t> </w:t>
      </w:r>
      <w:r>
        <w:rPr/>
        <w:t>Estadual</w:t>
      </w:r>
      <w:r>
        <w:rPr>
          <w:spacing w:val="31"/>
        </w:rPr>
        <w:t> </w:t>
      </w:r>
      <w:r>
        <w:rPr/>
        <w:t>nº</w:t>
      </w:r>
      <w:r>
        <w:rPr>
          <w:spacing w:val="31"/>
        </w:rPr>
        <w:t> </w:t>
      </w:r>
      <w:r>
        <w:rPr/>
        <w:t>52/2019,</w:t>
      </w:r>
      <w:r>
        <w:rPr>
          <w:spacing w:val="31"/>
        </w:rPr>
        <w:t> </w:t>
      </w:r>
      <w:r>
        <w:rPr/>
        <w:t>de</w:t>
      </w:r>
      <w:r>
        <w:rPr>
          <w:spacing w:val="31"/>
        </w:rPr>
        <w:t> </w:t>
      </w:r>
      <w:r>
        <w:rPr/>
        <w:t>30</w:t>
      </w:r>
      <w:r>
        <w:rPr>
          <w:spacing w:val="31"/>
        </w:rPr>
        <w:t> </w:t>
      </w:r>
      <w:r>
        <w:rPr/>
        <w:t>de dezembro de 2019, observando-se o sistema remuneratório sob a forma de subsídio.</w:t>
      </w:r>
    </w:p>
    <w:p>
      <w:pPr>
        <w:pStyle w:val="BodyText"/>
        <w:spacing w:before="15"/>
      </w:pPr>
    </w:p>
    <w:p>
      <w:pPr>
        <w:pStyle w:val="BodyText"/>
        <w:ind w:left="1328"/>
      </w:pPr>
      <w:r>
        <w:rPr/>
        <w:t>Procuradoria Geral de Justiça, em Maceió, 1º de setembro de </w:t>
      </w:r>
      <w:r>
        <w:rPr>
          <w:spacing w:val="-2"/>
        </w:rPr>
        <w:t>2023.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5"/>
      </w:pPr>
    </w:p>
    <w:p>
      <w:pPr>
        <w:pStyle w:val="BodyText"/>
        <w:ind w:left="375"/>
      </w:pPr>
      <w:r>
        <w:rPr/>
        <w:t>MÁRCIO ROBERTO TENÓRIO DE </w:t>
      </w:r>
      <w:r>
        <w:rPr>
          <w:spacing w:val="-2"/>
        </w:rPr>
        <w:t>ALBUQUERQUE</w:t>
      </w:r>
    </w:p>
    <w:p>
      <w:pPr>
        <w:pStyle w:val="BodyText"/>
        <w:spacing w:before="9"/>
        <w:ind w:left="375"/>
      </w:pPr>
      <w:r>
        <w:rPr/>
        <w:t>Procurador-Geral de </w:t>
      </w:r>
      <w:r>
        <w:rPr>
          <w:spacing w:val="-2"/>
        </w:rPr>
        <w:t>Justiça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6"/>
      </w:pPr>
    </w:p>
    <w:p>
      <w:pPr>
        <w:pStyle w:val="BodyText"/>
        <w:ind w:left="234"/>
      </w:pPr>
      <w:r>
        <w:rPr/>
        <w:t>ATO PGJ Nº </w:t>
      </w:r>
      <w:r>
        <w:rPr>
          <w:spacing w:val="-2"/>
        </w:rPr>
        <w:t>12/2023</w:t>
      </w:r>
    </w:p>
    <w:p>
      <w:pPr>
        <w:pStyle w:val="BodyText"/>
        <w:spacing w:before="18"/>
      </w:pPr>
    </w:p>
    <w:p>
      <w:pPr>
        <w:pStyle w:val="BodyText"/>
        <w:spacing w:line="249" w:lineRule="auto" w:before="1"/>
        <w:ind w:left="234" w:right="210"/>
        <w:jc w:val="both"/>
      </w:pPr>
      <w:r>
        <w:rPr/>
        <w:t>O PROCURADOR-GERAL DE JUSTIÇA DO ESTADO DE ALAGOAS, no uso de suas atribuições previstas no art. 9°, inciso V, da Lei Complementar Estadual nº 15/1996,</w:t>
      </w:r>
    </w:p>
    <w:p>
      <w:pPr>
        <w:pStyle w:val="BodyText"/>
        <w:spacing w:before="10"/>
      </w:pPr>
    </w:p>
    <w:p>
      <w:pPr>
        <w:pStyle w:val="BodyText"/>
        <w:ind w:left="234"/>
        <w:jc w:val="both"/>
      </w:pPr>
      <w:r>
        <w:rPr/>
        <w:t>Considerando que o feriado do dia 7 de setembro do corrente ano será em uma quinta-</w:t>
      </w:r>
      <w:r>
        <w:rPr>
          <w:spacing w:val="-2"/>
        </w:rPr>
        <w:t>feira;</w:t>
      </w:r>
    </w:p>
    <w:p>
      <w:pPr>
        <w:pStyle w:val="BodyText"/>
        <w:spacing w:before="18"/>
      </w:pPr>
    </w:p>
    <w:p>
      <w:pPr>
        <w:pStyle w:val="BodyText"/>
        <w:spacing w:line="249" w:lineRule="auto"/>
        <w:ind w:left="234" w:right="229"/>
        <w:jc w:val="both"/>
      </w:pPr>
      <w:r>
        <w:rPr/>
        <w:t>Considerando que a suspensão das atividades do Ministério Público no dia 8 de setembro (sexta-feira), não resultará prejuízo para os jurisdicionados, haja vista a suspensão das atividades, atos e dos prazos processuais do Poder Judiciário, conforme o disposto no Art 2º, do Ato Normativo nº 18, de 22 de março de 2023, do Tribunal de Justiça do Estado de Alagoas e considerando a conveniência e o interesse da Administração deste Ministério Público Estadual;</w:t>
      </w:r>
    </w:p>
    <w:p>
      <w:pPr>
        <w:pStyle w:val="BodyText"/>
        <w:spacing w:before="12"/>
      </w:pPr>
    </w:p>
    <w:p>
      <w:pPr>
        <w:pStyle w:val="BodyText"/>
        <w:ind w:left="234"/>
      </w:pPr>
      <w:r>
        <w:rPr>
          <w:spacing w:val="-2"/>
        </w:rPr>
        <w:t>RESOLVE:</w:t>
      </w:r>
    </w:p>
    <w:p>
      <w:pPr>
        <w:pStyle w:val="BodyText"/>
        <w:spacing w:after="0"/>
        <w:sectPr>
          <w:footerReference w:type="default" r:id="rId5"/>
          <w:type w:val="continuous"/>
          <w:pgSz w:w="11900" w:h="16840"/>
          <w:pgMar w:header="0" w:footer="725" w:top="20" w:bottom="920" w:left="566" w:right="566"/>
          <w:pgNumType w:start="1"/>
        </w:sectPr>
      </w:pPr>
    </w:p>
    <w:p>
      <w:pPr>
        <w:pStyle w:val="BodyText"/>
        <w:ind w:left="152"/>
        <w:rPr>
          <w:sz w:val="20"/>
        </w:rPr>
      </w:pPr>
      <w:r>
        <w:rPr>
          <w:sz w:val="20"/>
        </w:rPr>
        <w:drawing>
          <wp:inline distT="0" distB="0" distL="0" distR="0">
            <wp:extent cx="6689307" cy="786288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9307" cy="786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tabs>
          <w:tab w:pos="9538" w:val="left" w:leader="none"/>
        </w:tabs>
        <w:spacing w:before="132"/>
        <w:ind w:left="113"/>
      </w:pPr>
      <w:r>
        <w:rPr/>
        <w:t>Data de disponibilização: 4 de setembro de </w:t>
      </w:r>
      <w:r>
        <w:rPr>
          <w:spacing w:val="-4"/>
        </w:rPr>
        <w:t>2023</w:t>
      </w:r>
      <w:r>
        <w:rPr/>
        <w:tab/>
        <w:t>Edição nº </w:t>
      </w:r>
      <w:r>
        <w:rPr>
          <w:spacing w:val="-5"/>
        </w:rPr>
        <w:t>965</w:t>
      </w:r>
    </w:p>
    <w:p>
      <w:pPr>
        <w:pStyle w:val="BodyTex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431800</wp:posOffset>
                </wp:positionH>
                <wp:positionV relativeFrom="paragraph">
                  <wp:posOffset>103262</wp:posOffset>
                </wp:positionV>
                <wp:extent cx="669290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69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2900" h="0">
                              <a:moveTo>
                                <a:pt x="0" y="0"/>
                              </a:moveTo>
                              <a:lnTo>
                                <a:pt x="66929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pt;margin-top:8.130878pt;width:527pt;height:.1pt;mso-position-horizontal-relative:page;mso-position-vertical-relative:paragraph;z-index:-15726080;mso-wrap-distance-left:0;mso-wrap-distance-right:0" id="docshape8" coordorigin="680,163" coordsize="10540,0" path="m680,163l11220,163e" filled="false" stroked="true" strokeweight=".5pt" strokecolor="#00336a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03"/>
      </w:pPr>
    </w:p>
    <w:p>
      <w:pPr>
        <w:pStyle w:val="BodyText"/>
        <w:spacing w:line="249" w:lineRule="auto"/>
        <w:ind w:left="234" w:right="229"/>
        <w:jc w:val="both"/>
      </w:pPr>
      <w:r>
        <w:rPr/>
        <w:t>Art. 1º Suspender as atividades, atos e prazos processuais, no âmbito do Ministério Público do Estado de Alagoas, no dia 8 de setembro de 2023 (sexta-feira).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234" w:right="227"/>
        <w:jc w:val="both"/>
      </w:pPr>
      <w:r>
        <w:rPr/>
        <w:t>§1º A compensação da jornada de trabalho, relativa aos dias de suspensão mencionada no caput deste artigo, deverá ser realizada na proporção de 1 (uma) hora/dia, durante os dias 11, 12, 13, 14, 15 e 18 de setembro do corrente ano.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234" w:right="228"/>
        <w:jc w:val="both"/>
      </w:pPr>
      <w:r>
        <w:rPr/>
        <w:t>§2º O membro ou servidor que usufruir da suspensão, objeto do presente ato que, venha a afastar-se de suas atribuições para gozo de férias ou outro motivo, no mês de setembro, deverá compensar, proporcionalmente, a respectiva jornada no mês de outubro de 2023.</w:t>
      </w:r>
    </w:p>
    <w:p>
      <w:pPr>
        <w:pStyle w:val="BodyText"/>
        <w:spacing w:before="11"/>
      </w:pPr>
    </w:p>
    <w:p>
      <w:pPr>
        <w:pStyle w:val="BodyText"/>
        <w:spacing w:line="501" w:lineRule="auto" w:before="1"/>
        <w:ind w:left="234" w:right="2441"/>
      </w:pPr>
      <w:r>
        <w:rPr/>
        <w:t>Art.</w:t>
      </w:r>
      <w:r>
        <w:rPr>
          <w:spacing w:val="-3"/>
        </w:rPr>
        <w:t> </w:t>
      </w:r>
      <w:r>
        <w:rPr/>
        <w:t>2º</w:t>
      </w:r>
      <w:r>
        <w:rPr>
          <w:spacing w:val="-3"/>
        </w:rPr>
        <w:t> </w:t>
      </w:r>
      <w:r>
        <w:rPr/>
        <w:t>Este</w:t>
      </w:r>
      <w:r>
        <w:rPr>
          <w:spacing w:val="-3"/>
        </w:rPr>
        <w:t> </w:t>
      </w:r>
      <w:r>
        <w:rPr/>
        <w:t>ato</w:t>
      </w:r>
      <w:r>
        <w:rPr>
          <w:spacing w:val="-3"/>
        </w:rPr>
        <w:t> </w:t>
      </w:r>
      <w:r>
        <w:rPr/>
        <w:t>entra</w:t>
      </w:r>
      <w:r>
        <w:rPr>
          <w:spacing w:val="-3"/>
        </w:rPr>
        <w:t> </w:t>
      </w:r>
      <w:r>
        <w:rPr/>
        <w:t>em</w:t>
      </w:r>
      <w:r>
        <w:rPr>
          <w:spacing w:val="-3"/>
        </w:rPr>
        <w:t> </w:t>
      </w:r>
      <w:r>
        <w:rPr/>
        <w:t>vigor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data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sua</w:t>
      </w:r>
      <w:r>
        <w:rPr>
          <w:spacing w:val="-3"/>
        </w:rPr>
        <w:t> </w:t>
      </w:r>
      <w:r>
        <w:rPr/>
        <w:t>publicação,</w:t>
      </w:r>
      <w:r>
        <w:rPr>
          <w:spacing w:val="-3"/>
        </w:rPr>
        <w:t> </w:t>
      </w:r>
      <w:r>
        <w:rPr/>
        <w:t>revogando-se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disposições</w:t>
      </w:r>
      <w:r>
        <w:rPr>
          <w:spacing w:val="-3"/>
        </w:rPr>
        <w:t> </w:t>
      </w:r>
      <w:r>
        <w:rPr/>
        <w:t>em</w:t>
      </w:r>
      <w:r>
        <w:rPr>
          <w:spacing w:val="-3"/>
        </w:rPr>
        <w:t> </w:t>
      </w:r>
      <w:r>
        <w:rPr/>
        <w:t>contrário. Publique-se. Cumpra-se.</w:t>
      </w:r>
    </w:p>
    <w:p>
      <w:pPr>
        <w:pStyle w:val="BodyText"/>
        <w:spacing w:line="206" w:lineRule="exact"/>
        <w:ind w:left="234"/>
      </w:pPr>
      <w:r>
        <w:rPr/>
        <w:t>Gabinete do Procurador-Geral de Justiça, em Maceió, 1º de setembro de </w:t>
      </w:r>
      <w:r>
        <w:rPr>
          <w:spacing w:val="-2"/>
        </w:rPr>
        <w:t>2023.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5"/>
      </w:pPr>
    </w:p>
    <w:p>
      <w:pPr>
        <w:pStyle w:val="BodyText"/>
        <w:spacing w:before="1"/>
        <w:ind w:left="234"/>
      </w:pPr>
      <w:r>
        <w:rPr/>
        <w:t>MÁRCIO ROBERTO TENÓRIO DE </w:t>
      </w:r>
      <w:r>
        <w:rPr>
          <w:spacing w:val="-2"/>
        </w:rPr>
        <w:t>ALBUQUERQUE</w:t>
      </w:r>
    </w:p>
    <w:p>
      <w:pPr>
        <w:pStyle w:val="BodyText"/>
        <w:spacing w:before="9"/>
        <w:ind w:left="234"/>
      </w:pPr>
      <w:r>
        <w:rPr/>
        <w:t>Procurador-Geral de </w:t>
      </w:r>
      <w:r>
        <w:rPr>
          <w:spacing w:val="-2"/>
        </w:rPr>
        <w:t>Justiça</w:t>
      </w:r>
    </w:p>
    <w:p>
      <w:pPr>
        <w:pStyle w:val="BodyText"/>
        <w:spacing w:before="17"/>
      </w:pPr>
    </w:p>
    <w:p>
      <w:pPr>
        <w:pStyle w:val="Heading1"/>
      </w:pPr>
      <w:r>
        <w:rPr/>
        <w:t>Despachos do Procurador-Geral de </w:t>
      </w:r>
      <w:r>
        <w:rPr>
          <w:spacing w:val="-2"/>
        </w:rPr>
        <w:t>Justiça</w:t>
      </w:r>
    </w:p>
    <w:p>
      <w:pPr>
        <w:pStyle w:val="BodyText"/>
        <w:spacing w:before="41"/>
        <w:rPr>
          <w:rFonts w:ascii="Arial"/>
          <w:b/>
        </w:rPr>
      </w:pPr>
    </w:p>
    <w:p>
      <w:pPr>
        <w:pStyle w:val="BodyText"/>
        <w:spacing w:line="249" w:lineRule="auto"/>
        <w:ind w:left="234"/>
      </w:pPr>
      <w:r>
        <w:rPr/>
        <w:t>O</w:t>
      </w:r>
      <w:r>
        <w:rPr>
          <w:spacing w:val="40"/>
        </w:rPr>
        <w:t> </w:t>
      </w:r>
      <w:r>
        <w:rPr>
          <w:spacing w:val="12"/>
        </w:rPr>
        <w:t>PROCURADOR-</w:t>
      </w:r>
      <w:r>
        <w:rPr>
          <w:spacing w:val="9"/>
        </w:rPr>
        <w:t>GERAL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10"/>
        </w:rPr>
        <w:t>JUSTIÇA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>
          <w:spacing w:val="10"/>
        </w:rPr>
        <w:t>ESTADO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10"/>
        </w:rPr>
        <w:t>ALAGOAS,</w:t>
      </w:r>
      <w:r>
        <w:rPr>
          <w:spacing w:val="40"/>
        </w:rPr>
        <w:t> </w:t>
      </w:r>
      <w:r>
        <w:rPr/>
        <w:t>DR.</w:t>
      </w:r>
      <w:r>
        <w:rPr>
          <w:spacing w:val="40"/>
        </w:rPr>
        <w:t> </w:t>
      </w:r>
      <w:r>
        <w:rPr>
          <w:spacing w:val="10"/>
        </w:rPr>
        <w:t>MÁRCIO</w:t>
      </w:r>
      <w:r>
        <w:rPr>
          <w:spacing w:val="40"/>
        </w:rPr>
        <w:t> </w:t>
      </w:r>
      <w:r>
        <w:rPr>
          <w:spacing w:val="10"/>
        </w:rPr>
        <w:t>ROBERTO</w:t>
      </w:r>
      <w:r>
        <w:rPr>
          <w:spacing w:val="40"/>
        </w:rPr>
        <w:t> </w:t>
      </w:r>
      <w:r>
        <w:rPr>
          <w:spacing w:val="10"/>
        </w:rPr>
        <w:t>TENÓRIO</w:t>
      </w:r>
      <w:r>
        <w:rPr>
          <w:spacing w:val="40"/>
        </w:rPr>
        <w:t> </w:t>
      </w:r>
      <w:r>
        <w:rPr>
          <w:spacing w:val="12"/>
        </w:rPr>
        <w:t>DE</w:t>
      </w:r>
      <w:r>
        <w:rPr>
          <w:spacing w:val="80"/>
        </w:rPr>
        <w:t> </w:t>
      </w:r>
      <w:r>
        <w:rPr/>
        <w:t>ALBUQUERQUE, DESPACHOU NO DIA 1º DE SETEMBRO DO CORRENTE ANO, OS SEGUINTES PROCESSOS:</w:t>
      </w:r>
    </w:p>
    <w:p>
      <w:pPr>
        <w:pStyle w:val="BodyText"/>
        <w:spacing w:before="10"/>
      </w:pPr>
    </w:p>
    <w:p>
      <w:pPr>
        <w:pStyle w:val="BodyText"/>
        <w:spacing w:before="1"/>
        <w:ind w:left="234"/>
      </w:pPr>
      <w:r>
        <w:rPr/>
        <w:t>Proc: 01.2020.00002715-</w:t>
      </w:r>
      <w:r>
        <w:rPr>
          <w:spacing w:val="-5"/>
        </w:rPr>
        <w:t>2.</w:t>
      </w:r>
    </w:p>
    <w:p>
      <w:pPr>
        <w:pStyle w:val="BodyText"/>
        <w:spacing w:line="249" w:lineRule="auto" w:before="9"/>
        <w:ind w:left="234" w:right="4780"/>
      </w:pPr>
      <w:r>
        <w:rPr/>
        <w:t>Interessado:</w:t>
      </w:r>
      <w:r>
        <w:rPr>
          <w:spacing w:val="-5"/>
        </w:rPr>
        <w:t> </w:t>
      </w:r>
      <w:r>
        <w:rPr/>
        <w:t>Núcleo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Defesa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Patrimônio</w:t>
      </w:r>
      <w:r>
        <w:rPr>
          <w:spacing w:val="-5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MPAL. Assunto: Peculato.</w:t>
      </w:r>
    </w:p>
    <w:p>
      <w:pPr>
        <w:pStyle w:val="BodyText"/>
        <w:spacing w:before="1"/>
        <w:ind w:left="234"/>
      </w:pPr>
      <w:r>
        <w:rPr/>
        <w:t>Despacho: À douta Assessoria Técnica para análise e </w:t>
      </w:r>
      <w:r>
        <w:rPr>
          <w:spacing w:val="-2"/>
        </w:rPr>
        <w:t>parecer.</w:t>
      </w:r>
    </w:p>
    <w:p>
      <w:pPr>
        <w:pStyle w:val="BodyText"/>
        <w:spacing w:before="18"/>
      </w:pPr>
    </w:p>
    <w:p>
      <w:pPr>
        <w:pStyle w:val="BodyText"/>
        <w:ind w:left="234"/>
      </w:pPr>
      <w:r>
        <w:rPr/>
        <w:t>Proc: 01.2022.00004786-</w:t>
      </w:r>
      <w:r>
        <w:rPr>
          <w:spacing w:val="-5"/>
        </w:rPr>
        <w:t>7.</w:t>
      </w:r>
    </w:p>
    <w:p>
      <w:pPr>
        <w:pStyle w:val="BodyText"/>
        <w:spacing w:line="249" w:lineRule="auto" w:before="9"/>
        <w:ind w:left="234" w:right="4780"/>
      </w:pPr>
      <w:r>
        <w:rPr/>
        <w:t>Interessado:</w:t>
      </w:r>
      <w:r>
        <w:rPr>
          <w:spacing w:val="-5"/>
        </w:rPr>
        <w:t> </w:t>
      </w:r>
      <w:r>
        <w:rPr/>
        <w:t>Ouvidoria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Ministério</w:t>
      </w:r>
      <w:r>
        <w:rPr>
          <w:spacing w:val="-5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Alagoas. Assunto: Fraude processual.</w:t>
      </w:r>
    </w:p>
    <w:p>
      <w:pPr>
        <w:pStyle w:val="BodyText"/>
        <w:spacing w:before="2"/>
        <w:ind w:left="234"/>
      </w:pPr>
      <w:r>
        <w:rPr/>
        <w:t>Despacho: À douta Assessoria Técnica para análise e </w:t>
      </w:r>
      <w:r>
        <w:rPr>
          <w:spacing w:val="-2"/>
        </w:rPr>
        <w:t>parecer.</w:t>
      </w:r>
    </w:p>
    <w:p>
      <w:pPr>
        <w:pStyle w:val="BodyText"/>
        <w:spacing w:before="17"/>
      </w:pPr>
    </w:p>
    <w:p>
      <w:pPr>
        <w:pStyle w:val="BodyText"/>
        <w:spacing w:before="1"/>
        <w:ind w:left="234"/>
      </w:pPr>
      <w:r>
        <w:rPr/>
        <w:t>Proc: 01.2023.00001509-</w:t>
      </w:r>
      <w:r>
        <w:rPr>
          <w:spacing w:val="-5"/>
        </w:rPr>
        <w:t>0.</w:t>
      </w:r>
    </w:p>
    <w:p>
      <w:pPr>
        <w:pStyle w:val="BodyText"/>
        <w:spacing w:before="9"/>
        <w:ind w:left="234"/>
      </w:pPr>
      <w:r>
        <w:rPr/>
        <w:t>Interessado: PROCURADORIA DA REPÚBLICA - ALAGOAS/UNIÃO DOS PALMARES - </w:t>
      </w:r>
      <w:r>
        <w:rPr>
          <w:spacing w:val="-2"/>
        </w:rPr>
        <w:t>ELEITORAL.</w:t>
      </w:r>
    </w:p>
    <w:p>
      <w:pPr>
        <w:pStyle w:val="BodyText"/>
        <w:spacing w:before="9"/>
        <w:ind w:left="234"/>
      </w:pPr>
      <w:r>
        <w:rPr/>
        <w:t>Assunto: Solicitação de </w:t>
      </w:r>
      <w:r>
        <w:rPr>
          <w:spacing w:val="-2"/>
        </w:rPr>
        <w:t>providências.</w:t>
      </w:r>
    </w:p>
    <w:p>
      <w:pPr>
        <w:pStyle w:val="BodyText"/>
        <w:spacing w:before="9"/>
        <w:ind w:left="234"/>
      </w:pPr>
      <w:r>
        <w:rPr/>
        <w:t>Despacho: À douta Assessoria Técnica para análise e </w:t>
      </w:r>
      <w:r>
        <w:rPr>
          <w:spacing w:val="-2"/>
        </w:rPr>
        <w:t>parecer.</w:t>
      </w:r>
    </w:p>
    <w:p>
      <w:pPr>
        <w:pStyle w:val="BodyText"/>
        <w:spacing w:before="18"/>
      </w:pPr>
    </w:p>
    <w:p>
      <w:pPr>
        <w:pStyle w:val="BodyText"/>
        <w:ind w:left="234"/>
      </w:pPr>
      <w:r>
        <w:rPr/>
        <w:t>Proc:02.2023.00005732-</w:t>
      </w:r>
      <w:r>
        <w:rPr>
          <w:spacing w:val="-5"/>
        </w:rPr>
        <w:t>5.</w:t>
      </w:r>
    </w:p>
    <w:p>
      <w:pPr>
        <w:pStyle w:val="BodyText"/>
        <w:spacing w:line="249" w:lineRule="auto" w:before="9"/>
        <w:ind w:left="234" w:right="6752"/>
      </w:pPr>
      <w:r>
        <w:rPr/>
        <w:t>Interessado: Policia Militar de Alagoas. Assunto:</w:t>
      </w:r>
      <w:r>
        <w:rPr>
          <w:spacing w:val="-13"/>
        </w:rPr>
        <w:t> </w:t>
      </w:r>
      <w:r>
        <w:rPr/>
        <w:t>Requerimento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providências.</w:t>
      </w:r>
    </w:p>
    <w:p>
      <w:pPr>
        <w:pStyle w:val="BodyText"/>
        <w:spacing w:line="249" w:lineRule="auto" w:before="1"/>
        <w:ind w:left="234"/>
      </w:pPr>
      <w:r>
        <w:rPr/>
        <w:t>Despacho: Em face das informações prestadas pela 60ª Promotoria de Justiça da Capital, à fl. 62, determino o arquivamento do presente feito.</w:t>
      </w:r>
    </w:p>
    <w:p>
      <w:pPr>
        <w:pStyle w:val="BodyText"/>
        <w:spacing w:before="11"/>
      </w:pPr>
    </w:p>
    <w:p>
      <w:pPr>
        <w:pStyle w:val="BodyText"/>
        <w:ind w:left="234"/>
        <w:jc w:val="both"/>
      </w:pPr>
      <w:r>
        <w:rPr/>
        <w:t>Proc: 02.2023.00006947-</w:t>
      </w:r>
      <w:r>
        <w:rPr>
          <w:spacing w:val="-5"/>
        </w:rPr>
        <w:t>6.</w:t>
      </w:r>
    </w:p>
    <w:p>
      <w:pPr>
        <w:pStyle w:val="BodyText"/>
        <w:spacing w:line="249" w:lineRule="auto" w:before="9"/>
        <w:ind w:left="234" w:right="3798"/>
        <w:jc w:val="both"/>
      </w:pPr>
      <w:r>
        <w:rPr/>
        <w:t>Interessado:</w:t>
      </w:r>
      <w:r>
        <w:rPr>
          <w:spacing w:val="-3"/>
        </w:rPr>
        <w:t> </w:t>
      </w:r>
      <w:r>
        <w:rPr/>
        <w:t>Juízo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Único</w:t>
      </w:r>
      <w:r>
        <w:rPr>
          <w:spacing w:val="-3"/>
        </w:rPr>
        <w:t> </w:t>
      </w:r>
      <w:r>
        <w:rPr/>
        <w:t>Ofício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Santa</w:t>
      </w:r>
      <w:r>
        <w:rPr>
          <w:spacing w:val="-3"/>
        </w:rPr>
        <w:t> </w:t>
      </w:r>
      <w:r>
        <w:rPr/>
        <w:t>Luzia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TJAL. Assunto:Requerimento de providências.</w:t>
      </w:r>
    </w:p>
    <w:p>
      <w:pPr>
        <w:pStyle w:val="BodyText"/>
        <w:spacing w:line="249" w:lineRule="auto" w:before="1"/>
        <w:ind w:left="234" w:right="226"/>
        <w:jc w:val="both"/>
      </w:pPr>
      <w:r>
        <w:rPr/>
        <w:t>Despacho: Acolho o parecer da douta Assessoria Técnica, com a seguinte ementa: "Inquérito Policial. Pedido de arquivamento pelo Ministério Público. Existência de reconhecimento do investigado por testemunhas presenciais. Discordância da Juíza </w:t>
      </w:r>
      <w:r>
        <w:rPr/>
        <w:t>de Direito. Encaminhamento dos autos ao PGJ. Art. 28 do CPP. Higidez da prova não infirmada. Pela designação de outro</w:t>
      </w:r>
      <w:r>
        <w:rPr>
          <w:spacing w:val="40"/>
        </w:rPr>
        <w:t> </w:t>
      </w:r>
      <w:r>
        <w:rPr/>
        <w:t>Promotor de Justiça para atuar no caso". Encaminhem-se os autos à douta Assessoria Especial desta PGJ.</w:t>
      </w:r>
    </w:p>
    <w:p>
      <w:pPr>
        <w:pStyle w:val="BodyText"/>
        <w:spacing w:before="12"/>
      </w:pPr>
    </w:p>
    <w:p>
      <w:pPr>
        <w:pStyle w:val="BodyText"/>
        <w:ind w:left="234"/>
        <w:jc w:val="both"/>
      </w:pPr>
      <w:r>
        <w:rPr/>
        <w:t>Proc: 02.2023.00007350-</w:t>
      </w:r>
      <w:r>
        <w:rPr>
          <w:spacing w:val="-5"/>
        </w:rPr>
        <w:t>3.</w:t>
      </w:r>
    </w:p>
    <w:p>
      <w:pPr>
        <w:pStyle w:val="BodyText"/>
        <w:spacing w:line="249" w:lineRule="auto" w:before="9"/>
        <w:ind w:left="234" w:right="2441"/>
      </w:pPr>
      <w:r>
        <w:rPr/>
        <w:t>Interessado:</w:t>
      </w:r>
      <w:r>
        <w:rPr>
          <w:spacing w:val="-4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Estadual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2ª</w:t>
      </w:r>
      <w:r>
        <w:rPr>
          <w:spacing w:val="-4"/>
        </w:rPr>
        <w:t> </w:t>
      </w:r>
      <w:r>
        <w:rPr/>
        <w:t>Promotoria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Justiça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Rio</w:t>
      </w:r>
      <w:r>
        <w:rPr>
          <w:spacing w:val="-4"/>
        </w:rPr>
        <w:t> </w:t>
      </w:r>
      <w:r>
        <w:rPr/>
        <w:t>Largo. Assunto:Requerimento de providências.</w:t>
      </w:r>
    </w:p>
    <w:sectPr>
      <w:pgSz w:w="11900" w:h="16840"/>
      <w:pgMar w:header="0" w:footer="725" w:top="800" w:bottom="92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5712">
              <wp:simplePos x="0" y="0"/>
              <wp:positionH relativeFrom="page">
                <wp:posOffset>431800</wp:posOffset>
              </wp:positionH>
              <wp:positionV relativeFrom="page">
                <wp:posOffset>10058400</wp:posOffset>
              </wp:positionV>
              <wp:extent cx="66929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69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2900" h="0">
                            <a:moveTo>
                              <a:pt x="0" y="0"/>
                            </a:moveTo>
                            <a:lnTo>
                              <a:pt x="6692900" y="0"/>
                            </a:lnTo>
                          </a:path>
                        </a:pathLst>
                      </a:custGeom>
                      <a:ln w="6350">
                        <a:solidFill>
                          <a:srgbClr val="00336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40768" from="34pt,792pt" to="561pt,792pt" stroked="true" strokeweight=".5pt" strokecolor="#00336a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6224">
              <wp:simplePos x="0" y="0"/>
              <wp:positionH relativeFrom="page">
                <wp:posOffset>1027683</wp:posOffset>
              </wp:positionH>
              <wp:positionV relativeFrom="page">
                <wp:posOffset>10080724</wp:posOffset>
              </wp:positionV>
              <wp:extent cx="550227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5022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336A"/>
                              <w:sz w:val="16"/>
                            </w:rPr>
                            <w:t>Diário Oficial Eletrônico instituído e regulamentado pelo Ato PGJ nº 10/2019, de 01 de agosto de 2019 – DOE </w:t>
                          </w:r>
                          <w:r>
                            <w:rPr>
                              <w:color w:val="00336A"/>
                              <w:spacing w:val="-2"/>
                              <w:sz w:val="16"/>
                            </w:rPr>
                            <w:t>02/08/2019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0.919998pt;margin-top:793.757813pt;width:433.25pt;height:10.95pt;mso-position-horizontal-relative:page;mso-position-vertical-relative:page;z-index:-15840256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336A"/>
                        <w:sz w:val="16"/>
                      </w:rPr>
                      <w:t>Diário Oficial Eletrônico instituído e regulamentado pelo Ato PGJ nº 10/2019, de 01 de agosto de 2019 – DOE </w:t>
                    </w:r>
                    <w:r>
                      <w:rPr>
                        <w:color w:val="00336A"/>
                        <w:spacing w:val="-2"/>
                        <w:sz w:val="16"/>
                      </w:rPr>
                      <w:t>02/08/2019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6736">
              <wp:simplePos x="0" y="0"/>
              <wp:positionH relativeFrom="page">
                <wp:posOffset>6990588</wp:posOffset>
              </wp:positionH>
              <wp:positionV relativeFrom="page">
                <wp:posOffset>10235530</wp:posOffset>
              </wp:positionV>
              <wp:extent cx="160020" cy="16764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0.440002pt;margin-top:805.947266pt;width:12.6pt;height:13.2pt;mso-position-horizontal-relative:page;mso-position-vertical-relative:page;z-index:-15839744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jc w:val="center"/>
      <w:outlineLvl w:val="1"/>
    </w:pPr>
    <w:rPr>
      <w:rFonts w:ascii="Arial" w:hAnsi="Arial" w:eastAsia="Arial" w:cs="Arial"/>
      <w:b/>
      <w:bCs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68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149" w:lineRule="exact"/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2025-07-21T14:24:04Z</dcterms:created>
  <dcterms:modified xsi:type="dcterms:W3CDTF">2025-07-21T14:24:04Z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2025-07-21T00:00:00Z</vt:filetime>
  </property>
</Properties>
</file>