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10 de junho de </w:t>
      </w:r>
      <w:r>
        <w:rPr>
          <w:spacing w:val="-4"/>
        </w:rPr>
        <w:t>2024</w:t>
      </w:r>
      <w:r>
        <w:rPr/>
        <w:tab/>
        <w:t>Edição nº </w:t>
      </w:r>
      <w:r>
        <w:rPr>
          <w:spacing w:val="-4"/>
        </w:rPr>
        <w:t>1145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ind w:left="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503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71" w:lineRule="exact" w:before="72"/>
              <w:ind w:left="0" w:right="16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  <w:p>
            <w:pPr>
              <w:pStyle w:val="TableParagraph"/>
              <w:spacing w:line="171" w:lineRule="exact" w:before="0"/>
              <w:ind w:left="0" w:right="160"/>
              <w:jc w:val="center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WALBER JOSÉ VALENTE DE </w:t>
            </w:r>
            <w:r>
              <w:rPr>
                <w:rFonts w:ascii="Arial" w:hAnsi="Arial"/>
                <w:b/>
                <w:spacing w:val="-4"/>
                <w:sz w:val="15"/>
              </w:rPr>
              <w:t>LIMA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left="0" w:right="18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0" w:right="306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133" w:right="-15"/>
              <w:jc w:val="center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755" w:type="dxa"/>
          </w:tcPr>
          <w:p>
            <w:pPr>
              <w:pStyle w:val="TableParagraph"/>
              <w:spacing w:line="168" w:lineRule="exact" w:before="0"/>
              <w:ind w:left="0" w:right="181"/>
              <w:jc w:val="center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1" w:right="306"/>
              <w:jc w:val="center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493" w:hRule="atLeast"/>
        </w:trPr>
        <w:tc>
          <w:tcPr>
            <w:tcW w:w="10314" w:type="dxa"/>
            <w:gridSpan w:val="3"/>
            <w:tcBorders>
              <w:left w:val="single" w:sz="6" w:space="0" w:color="00336A"/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 w:before="0"/>
              <w:ind w:left="1297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8"/>
        <w:ind w:left="0"/>
        <w:rPr>
          <w:sz w:val="6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9"/>
        <w:gridCol w:w="3755"/>
        <w:gridCol w:w="3190"/>
      </w:tblGrid>
      <w:tr>
        <w:trPr>
          <w:trHeight w:val="344" w:hRule="atLeast"/>
        </w:trPr>
        <w:tc>
          <w:tcPr>
            <w:tcW w:w="3369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0" w:right="16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 w:before="0"/>
              <w:ind w:left="0" w:right="16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left="0" w:right="16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jc w:val="center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left="0" w:right="131"/>
              <w:jc w:val="center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5" w:right="306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 w:before="0"/>
              <w:ind w:left="139" w:right="22"/>
              <w:jc w:val="center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 w:before="0"/>
              <w:ind w:left="0" w:right="131"/>
              <w:jc w:val="center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 w:before="0"/>
              <w:ind w:left="75" w:right="306"/>
              <w:jc w:val="center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 w:before="0"/>
              <w:ind w:left="139" w:right="23"/>
              <w:jc w:val="center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 w:before="0"/>
              <w:ind w:left="0" w:right="130"/>
              <w:jc w:val="center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 w:before="0"/>
              <w:ind w:left="75" w:right="306"/>
              <w:jc w:val="center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</w:tr>
      <w:tr>
        <w:trPr>
          <w:trHeight w:val="16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49" w:lineRule="exact" w:before="0"/>
              <w:ind w:left="139" w:right="23"/>
              <w:jc w:val="center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</w:tcPr>
          <w:p>
            <w:pPr>
              <w:pStyle w:val="TableParagraph"/>
              <w:spacing w:line="149" w:lineRule="exact" w:before="0"/>
              <w:ind w:left="0" w:right="130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49" w:lineRule="exact" w:before="0"/>
              <w:ind w:left="75" w:right="306"/>
              <w:jc w:val="center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139" w:right="23"/>
              <w:jc w:val="center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 w:before="0"/>
              <w:ind w:left="839" w:right="592" w:hanging="42"/>
              <w:rPr>
                <w:sz w:val="15"/>
              </w:rPr>
            </w:pPr>
            <w:r>
              <w:rPr>
                <w:sz w:val="15"/>
              </w:rPr>
              <w:t>Maria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Marluce</w:t>
            </w:r>
            <w:r>
              <w:rPr>
                <w:spacing w:val="-10"/>
                <w:sz w:val="15"/>
              </w:rPr>
              <w:t> </w:t>
            </w:r>
            <w:r>
              <w:rPr>
                <w:sz w:val="15"/>
              </w:rPr>
              <w:t>Caldas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Bezerra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75" w:right="306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</w:tr>
      <w:tr>
        <w:trPr>
          <w:trHeight w:val="75" w:hRule="atLeast"/>
        </w:trPr>
        <w:tc>
          <w:tcPr>
            <w:tcW w:w="3369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755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19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369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0" w:right="16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 w:before="0"/>
              <w:ind w:left="0" w:right="16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55" w:type="dxa"/>
          </w:tcPr>
          <w:p>
            <w:pPr>
              <w:pStyle w:val="TableParagraph"/>
              <w:spacing w:before="1"/>
              <w:ind w:left="0" w:right="16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369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39" w:right="22"/>
              <w:jc w:val="center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755" w:type="dxa"/>
          </w:tcPr>
          <w:p>
            <w:pPr>
              <w:pStyle w:val="TableParagraph"/>
              <w:spacing w:line="153" w:lineRule="exact" w:before="85"/>
              <w:ind w:left="0" w:right="1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19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74" w:right="306"/>
              <w:jc w:val="center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</w:tr>
      <w:tr>
        <w:trPr>
          <w:trHeight w:val="366" w:hRule="atLeast"/>
        </w:trPr>
        <w:tc>
          <w:tcPr>
            <w:tcW w:w="3369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139" w:right="23"/>
              <w:jc w:val="center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755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 w:before="0"/>
              <w:ind w:left="0" w:right="130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 w:before="0"/>
              <w:ind w:left="0" w:right="130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19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 w:before="0"/>
              <w:ind w:left="75" w:right="306"/>
              <w:jc w:val="center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209054</wp:posOffset>
                </wp:positionV>
                <wp:extent cx="3924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460976pt;width:309pt;height:.1pt;mso-position-horizontal-relative:page;mso-position-vertical-relative:paragraph;z-index:-15727616;mso-wrap-distance-left:0;mso-wrap-distance-right:0" id="docshape4" coordorigin="2860,329" coordsize="6180,0" path="m2860,329l9040,32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7104;mso-wrap-distance-left:0;mso-wrap-distance-right:0" id="docshape5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52"/>
      </w:pPr>
      <w:r>
        <w:rPr>
          <w:spacing w:val="-4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</w:pPr>
      <w:r>
        <w:rPr/>
        <w:t>ATO PGJ Nº </w:t>
      </w:r>
      <w:r>
        <w:rPr>
          <w:spacing w:val="-2"/>
        </w:rPr>
        <w:t>10/2024</w:t>
      </w:r>
    </w:p>
    <w:p>
      <w:pPr>
        <w:pStyle w:val="BodyText"/>
        <w:spacing w:before="18"/>
        <w:ind w:left="0"/>
      </w:pPr>
    </w:p>
    <w:p>
      <w:pPr>
        <w:pStyle w:val="BodyText"/>
        <w:spacing w:before="1"/>
      </w:pPr>
      <w:r>
        <w:rPr/>
        <w:t>Estabelece a gestão do Portal da Transparência do Ministério Público do Estado de Alagoas e dá outras </w:t>
      </w:r>
      <w:r>
        <w:rPr>
          <w:spacing w:val="-2"/>
        </w:rPr>
        <w:t>providências.</w:t>
      </w:r>
    </w:p>
    <w:p>
      <w:pPr>
        <w:pStyle w:val="BodyText"/>
        <w:ind w:left="0"/>
      </w:pPr>
    </w:p>
    <w:p>
      <w:pPr>
        <w:pStyle w:val="BodyText"/>
        <w:spacing w:before="26"/>
        <w:ind w:left="0"/>
      </w:pPr>
    </w:p>
    <w:p>
      <w:pPr>
        <w:pStyle w:val="BodyText"/>
        <w:spacing w:line="249" w:lineRule="auto" w:before="1"/>
      </w:pPr>
      <w:r>
        <w:rPr/>
        <w:t>O</w:t>
      </w:r>
      <w:r>
        <w:rPr>
          <w:spacing w:val="32"/>
        </w:rPr>
        <w:t> </w:t>
      </w:r>
      <w:r>
        <w:rPr/>
        <w:t>PROCURADOR-GERAL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JUSTIÇA,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das</w:t>
      </w:r>
      <w:r>
        <w:rPr>
          <w:spacing w:val="32"/>
        </w:rPr>
        <w:t> </w:t>
      </w:r>
      <w:r>
        <w:rPr/>
        <w:t>atribuições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lhe</w:t>
      </w:r>
      <w:r>
        <w:rPr>
          <w:spacing w:val="32"/>
        </w:rPr>
        <w:t> </w:t>
      </w:r>
      <w:r>
        <w:rPr/>
        <w:t>são</w:t>
      </w:r>
      <w:r>
        <w:rPr>
          <w:spacing w:val="32"/>
        </w:rPr>
        <w:t> </w:t>
      </w:r>
      <w:r>
        <w:rPr/>
        <w:t>conferidas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art.</w:t>
      </w:r>
      <w:r>
        <w:rPr>
          <w:spacing w:val="32"/>
        </w:rPr>
        <w:t> </w:t>
      </w:r>
      <w:r>
        <w:rPr/>
        <w:t>9º</w:t>
      </w:r>
      <w:r>
        <w:rPr>
          <w:spacing w:val="32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Complementar Estadual nº 15, de 22 de novembro de 1996, RESOLVE:</w:t>
      </w:r>
    </w:p>
    <w:p>
      <w:pPr>
        <w:pStyle w:val="BodyText"/>
        <w:spacing w:line="249" w:lineRule="auto" w:before="1"/>
        <w:ind w:right="172"/>
      </w:pPr>
      <w:r>
        <w:rPr/>
        <w:t>Art. 1º O Portal da Transparência do Ministério Público do Estado de Alagoas, obedecidas os normativos do Conselho Nacional do Ministério Público (CNMP) e do Tribunal de Contas do Estado de Alagoas será regido pelo presente ato.</w:t>
      </w:r>
    </w:p>
    <w:p>
      <w:pPr>
        <w:pStyle w:val="BodyText"/>
        <w:spacing w:line="249" w:lineRule="auto" w:before="2"/>
        <w:ind w:right="172"/>
      </w:pPr>
      <w:r>
        <w:rPr/>
        <w:t>Art. 2º Compete à Diretoria Geral do Ministério Público a coordenação da gestão do Portal da Transparência e a representação junto aos órgãos de controle externo.</w:t>
      </w:r>
    </w:p>
    <w:p>
      <w:pPr>
        <w:pStyle w:val="BodyText"/>
        <w:spacing w:line="249" w:lineRule="auto" w:before="1"/>
      </w:pPr>
      <w:r>
        <w:rPr/>
        <w:t>Art.</w:t>
      </w:r>
      <w:r>
        <w:rPr>
          <w:spacing w:val="61"/>
        </w:rPr>
        <w:t> </w:t>
      </w:r>
      <w:r>
        <w:rPr/>
        <w:t>3º</w:t>
      </w:r>
      <w:r>
        <w:rPr>
          <w:spacing w:val="61"/>
        </w:rPr>
        <w:t> </w:t>
      </w:r>
      <w:r>
        <w:rPr/>
        <w:t>Compete</w:t>
      </w:r>
      <w:r>
        <w:rPr>
          <w:spacing w:val="61"/>
        </w:rPr>
        <w:t> </w:t>
      </w:r>
      <w:r>
        <w:rPr/>
        <w:t>à</w:t>
      </w:r>
      <w:r>
        <w:rPr>
          <w:spacing w:val="61"/>
        </w:rPr>
        <w:t> </w:t>
      </w:r>
      <w:r>
        <w:rPr/>
        <w:t>Controladoria</w:t>
      </w:r>
      <w:r>
        <w:rPr>
          <w:spacing w:val="61"/>
        </w:rPr>
        <w:t> </w:t>
      </w:r>
      <w:r>
        <w:rPr/>
        <w:t>Interna</w:t>
      </w:r>
      <w:r>
        <w:rPr>
          <w:spacing w:val="61"/>
        </w:rPr>
        <w:t> </w:t>
      </w:r>
      <w:r>
        <w:rPr/>
        <w:t>o</w:t>
      </w:r>
      <w:r>
        <w:rPr>
          <w:spacing w:val="61"/>
        </w:rPr>
        <w:t> </w:t>
      </w:r>
      <w:r>
        <w:rPr/>
        <w:t>monitoramento</w:t>
      </w:r>
      <w:r>
        <w:rPr>
          <w:spacing w:val="61"/>
        </w:rPr>
        <w:t> </w:t>
      </w:r>
      <w:r>
        <w:rPr/>
        <w:t>mensal</w:t>
      </w:r>
      <w:r>
        <w:rPr>
          <w:spacing w:val="61"/>
        </w:rPr>
        <w:t> </w:t>
      </w:r>
      <w:r>
        <w:rPr/>
        <w:t>da</w:t>
      </w:r>
      <w:r>
        <w:rPr>
          <w:spacing w:val="61"/>
        </w:rPr>
        <w:t> </w:t>
      </w:r>
      <w:r>
        <w:rPr/>
        <w:t>alimentação</w:t>
      </w:r>
      <w:r>
        <w:rPr>
          <w:spacing w:val="61"/>
        </w:rPr>
        <w:t> </w:t>
      </w:r>
      <w:r>
        <w:rPr/>
        <w:t>dos</w:t>
      </w:r>
      <w:r>
        <w:rPr>
          <w:spacing w:val="61"/>
        </w:rPr>
        <w:t> </w:t>
      </w:r>
      <w:r>
        <w:rPr/>
        <w:t>dados</w:t>
      </w:r>
      <w:r>
        <w:rPr>
          <w:spacing w:val="61"/>
        </w:rPr>
        <w:t> </w:t>
      </w:r>
      <w:r>
        <w:rPr/>
        <w:t>divulgados</w:t>
      </w:r>
      <w:r>
        <w:rPr>
          <w:spacing w:val="61"/>
        </w:rPr>
        <w:t> </w:t>
      </w:r>
      <w:r>
        <w:rPr/>
        <w:t>no</w:t>
      </w:r>
      <w:r>
        <w:rPr>
          <w:spacing w:val="61"/>
        </w:rPr>
        <w:t> </w:t>
      </w:r>
      <w:r>
        <w:rPr/>
        <w:t>Portal</w:t>
      </w:r>
      <w:r>
        <w:rPr>
          <w:spacing w:val="61"/>
        </w:rPr>
        <w:t> </w:t>
      </w:r>
      <w:r>
        <w:rPr/>
        <w:t>da </w:t>
      </w:r>
      <w:r>
        <w:rPr>
          <w:spacing w:val="-2"/>
        </w:rPr>
        <w:t>Transparência.</w:t>
      </w:r>
    </w:p>
    <w:p>
      <w:pPr>
        <w:pStyle w:val="BodyText"/>
        <w:spacing w:before="1"/>
      </w:pPr>
      <w:r>
        <w:rPr/>
        <w:t>Art. 4º Compete à Diretoria de Tecnologia da </w:t>
      </w:r>
      <w:r>
        <w:rPr>
          <w:spacing w:val="-2"/>
        </w:rPr>
        <w:t>Informação: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9" w:lineRule="auto" w:before="10" w:after="0"/>
        <w:ind w:left="234" w:right="227" w:firstLine="0"/>
        <w:jc w:val="both"/>
        <w:rPr>
          <w:sz w:val="18"/>
        </w:rPr>
      </w:pPr>
      <w:r>
        <w:rPr>
          <w:sz w:val="18"/>
        </w:rPr>
        <w:t>- disponibilizar os recursos de hardware e software para atender às diretrizes de transparência pública do Ministério Público do Estado de Alagoas, inclusive quanto à gestão de perfis de acesso e orientação na utilização das ferramentas tecnológicas </w:t>
      </w:r>
      <w:r>
        <w:rPr>
          <w:spacing w:val="-2"/>
          <w:sz w:val="18"/>
        </w:rPr>
        <w:t>necessárias;</w:t>
      </w:r>
    </w:p>
    <w:p>
      <w:pPr>
        <w:pStyle w:val="ListParagraph"/>
        <w:numPr>
          <w:ilvl w:val="0"/>
          <w:numId w:val="1"/>
        </w:numPr>
        <w:tabs>
          <w:tab w:pos="387" w:val="left" w:leader="none"/>
        </w:tabs>
        <w:spacing w:line="249" w:lineRule="auto" w:before="2" w:after="0"/>
        <w:ind w:left="234" w:right="227" w:firstLine="0"/>
        <w:jc w:val="both"/>
        <w:rPr>
          <w:sz w:val="18"/>
        </w:rPr>
      </w:pPr>
      <w:r>
        <w:rPr>
          <w:sz w:val="18"/>
        </w:rPr>
        <w:t>- disponibilizar infraestrutura necessária na manutenção e suporte para o ambiente do Portal da Transparência, possibilitando ao cidadão interação estática e dinâmica, em benefício da prestação de contas, da comunicação e do controle social, e de acordo com os normativos vigentes;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2" w:after="0"/>
        <w:ind w:left="434" w:right="0" w:hanging="200"/>
        <w:jc w:val="both"/>
        <w:rPr>
          <w:sz w:val="18"/>
        </w:rPr>
      </w:pPr>
      <w:r>
        <w:rPr>
          <w:sz w:val="18"/>
        </w:rPr>
        <w:t>- garantir recursos tecnológicos de suporte à acessibilidade de conteúdo para pessoas com </w:t>
      </w:r>
      <w:r>
        <w:rPr>
          <w:spacing w:val="-2"/>
          <w:sz w:val="18"/>
        </w:rPr>
        <w:t>deficiência;</w:t>
      </w:r>
    </w:p>
    <w:p>
      <w:pPr>
        <w:pStyle w:val="BodyText"/>
        <w:spacing w:line="249" w:lineRule="auto" w:before="9"/>
        <w:ind w:right="210"/>
        <w:jc w:val="both"/>
      </w:pPr>
      <w:r>
        <w:rPr/>
        <w:t>Art. 5º O conteúdo do Portal da Transparência abrange a veiculação de informações e dados referidos nos normativos vigentes, em especial as Resoluções sobre a transparência pública do Conselho Nacional do Ministério Público e Tribunal de Contas do Estado do Estado de Alagoas.</w:t>
      </w:r>
    </w:p>
    <w:p>
      <w:pPr>
        <w:pStyle w:val="BodyText"/>
        <w:spacing w:line="249" w:lineRule="auto" w:before="2"/>
        <w:ind w:right="230"/>
        <w:jc w:val="both"/>
      </w:pPr>
      <w:r>
        <w:rPr/>
        <w:t>Art. 6º As informações, de responsabilidade das unidades administrativas do MPAL, conforme Anexo, deverão ser atualizadas e alimentadas no Portal da Transparência, mensalmente, pelas próprias unidades, até o 10º dia do mês subsequente ao mês a que se referem.</w:t>
      </w:r>
    </w:p>
    <w:p>
      <w:pPr>
        <w:pStyle w:val="BodyText"/>
        <w:spacing w:line="249" w:lineRule="auto" w:before="2"/>
        <w:ind w:right="229"/>
        <w:jc w:val="both"/>
      </w:pPr>
      <w:r>
        <w:rPr/>
        <w:t>Parágrafo único. Os itens de competências quadrimestrais e anuais devem ser alimentados até o 10º dia do mês subsequente</w:t>
      </w:r>
      <w:r>
        <w:rPr>
          <w:spacing w:val="40"/>
        </w:rPr>
        <w:t> </w:t>
      </w:r>
      <w:r>
        <w:rPr/>
        <w:t>ao fechamento do período.</w:t>
      </w:r>
    </w:p>
    <w:p>
      <w:pPr>
        <w:pStyle w:val="BodyText"/>
        <w:spacing w:before="2"/>
        <w:jc w:val="both"/>
      </w:pPr>
      <w:r>
        <w:rPr/>
        <w:t>Art.</w:t>
      </w:r>
      <w:r>
        <w:rPr>
          <w:spacing w:val="38"/>
        </w:rPr>
        <w:t> </w:t>
      </w:r>
      <w:r>
        <w:rPr/>
        <w:t>7º</w:t>
      </w:r>
      <w:r>
        <w:rPr>
          <w:spacing w:val="38"/>
        </w:rPr>
        <w:t> </w:t>
      </w:r>
      <w:r>
        <w:rPr/>
        <w:t>As</w:t>
      </w:r>
      <w:r>
        <w:rPr>
          <w:spacing w:val="38"/>
        </w:rPr>
        <w:t> </w:t>
      </w:r>
      <w:r>
        <w:rPr/>
        <w:t>unidades</w:t>
      </w:r>
      <w:r>
        <w:rPr>
          <w:spacing w:val="38"/>
        </w:rPr>
        <w:t> </w:t>
      </w:r>
      <w:r>
        <w:rPr/>
        <w:t>administrativas</w:t>
      </w:r>
      <w:r>
        <w:rPr>
          <w:spacing w:val="38"/>
        </w:rPr>
        <w:t> </w:t>
      </w:r>
      <w:r>
        <w:rPr/>
        <w:t>referidas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art.</w:t>
      </w:r>
      <w:r>
        <w:rPr>
          <w:spacing w:val="38"/>
        </w:rPr>
        <w:t> </w:t>
      </w:r>
      <w:r>
        <w:rPr/>
        <w:t>6º</w:t>
      </w:r>
      <w:r>
        <w:rPr>
          <w:spacing w:val="38"/>
        </w:rPr>
        <w:t> </w:t>
      </w:r>
      <w:r>
        <w:rPr/>
        <w:t>deverão</w:t>
      </w:r>
      <w:r>
        <w:rPr>
          <w:spacing w:val="38"/>
        </w:rPr>
        <w:t> </w:t>
      </w:r>
      <w:r>
        <w:rPr/>
        <w:t>indicar</w:t>
      </w:r>
      <w:r>
        <w:rPr>
          <w:spacing w:val="38"/>
        </w:rPr>
        <w:t> </w:t>
      </w:r>
      <w:r>
        <w:rPr/>
        <w:t>formalmente</w:t>
      </w:r>
      <w:r>
        <w:rPr>
          <w:spacing w:val="38"/>
        </w:rPr>
        <w:t> </w:t>
      </w:r>
      <w:r>
        <w:rPr/>
        <w:t>à</w:t>
      </w:r>
      <w:r>
        <w:rPr>
          <w:spacing w:val="38"/>
        </w:rPr>
        <w:t> </w:t>
      </w:r>
      <w:r>
        <w:rPr/>
        <w:t>Controladoria</w:t>
      </w:r>
      <w:r>
        <w:rPr>
          <w:spacing w:val="38"/>
        </w:rPr>
        <w:t> </w:t>
      </w:r>
      <w:r>
        <w:rPr/>
        <w:t>Interna</w:t>
      </w:r>
      <w:r>
        <w:rPr>
          <w:spacing w:val="38"/>
        </w:rPr>
        <w:t> </w:t>
      </w:r>
      <w:r>
        <w:rPr/>
        <w:t>os</w:t>
      </w:r>
      <w:r>
        <w:rPr>
          <w:spacing w:val="38"/>
        </w:rPr>
        <w:t> </w:t>
      </w:r>
      <w:r>
        <w:rPr>
          <w:spacing w:val="-2"/>
        </w:rPr>
        <w:t>servidores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94"/>
        <w:ind w:left="0"/>
      </w:pPr>
    </w:p>
    <w:p>
      <w:pPr>
        <w:pStyle w:val="BodyText"/>
        <w:jc w:val="both"/>
      </w:pPr>
      <w:r>
        <w:rPr/>
        <w:t>titulares e suplentes para as respectivas funções de alimentação das informações previstas no </w:t>
      </w:r>
      <w:r>
        <w:rPr>
          <w:spacing w:val="-2"/>
        </w:rPr>
        <w:t>Anexo.</w:t>
      </w:r>
    </w:p>
    <w:p>
      <w:pPr>
        <w:pStyle w:val="BodyText"/>
        <w:spacing w:line="249" w:lineRule="auto" w:before="9"/>
        <w:ind w:right="228"/>
        <w:jc w:val="both"/>
      </w:pPr>
      <w:r>
        <w:rPr/>
        <w:t>§1º Os servidores titulares responsáveis pela alimentação do Portal da Transparência deverão transmitir aos seus suplentes todos os procedimentos técnicos necessários à tempestiva disponibilização das informações no Portal.</w:t>
      </w:r>
    </w:p>
    <w:p>
      <w:pPr>
        <w:pStyle w:val="BodyText"/>
        <w:spacing w:line="249" w:lineRule="auto" w:before="2"/>
        <w:ind w:right="226"/>
        <w:jc w:val="both"/>
      </w:pPr>
      <w:r>
        <w:rPr/>
        <w:t>§2º Quaisquer alterações quanto à mudança do servidor (titular e/ou suplente) responsável pela alimentação do Portal da Transparência deverá ser comunicada formalmente à Controladoria Interna.</w:t>
      </w:r>
    </w:p>
    <w:p>
      <w:pPr>
        <w:pStyle w:val="BodyText"/>
        <w:spacing w:line="249" w:lineRule="auto" w:before="1"/>
        <w:ind w:right="227"/>
        <w:jc w:val="both"/>
      </w:pPr>
      <w:r>
        <w:rPr/>
        <w:t>Art. 8º A Controladoria Interna realizará avaliação da transparência ativa para monitorar as informações disponibilizadas no sítio oficial e Portal da Transparência do Ministério Público, em cumprimento aos atos normativos vigentes sobre transparência </w:t>
      </w:r>
      <w:r>
        <w:rPr>
          <w:spacing w:val="-2"/>
        </w:rPr>
        <w:t>pública.</w:t>
      </w:r>
    </w:p>
    <w:p>
      <w:pPr>
        <w:pStyle w:val="BodyText"/>
        <w:spacing w:line="249" w:lineRule="auto" w:before="2"/>
        <w:ind w:right="226"/>
        <w:jc w:val="both"/>
      </w:pPr>
      <w:r>
        <w:rPr/>
        <w:t>Parágrafo único. A Controladoria Interna apresentará à Diretoria Geral, por meio de relatório de avaliação detalhado, as eventuais inconformidades de alimentação identificadas no Portal da Transparência.</w:t>
      </w:r>
    </w:p>
    <w:p>
      <w:pPr>
        <w:pStyle w:val="BodyText"/>
        <w:spacing w:line="249" w:lineRule="auto" w:before="2"/>
        <w:ind w:right="226"/>
        <w:jc w:val="both"/>
      </w:pPr>
      <w:r>
        <w:rPr/>
        <w:t>Art. 9º A Diretoria Geral encaminhará relatório de avaliação às partes interessadas, que deverão apontar formalmente as providências tomadas para imediata correção e/ou justificativas.</w:t>
      </w:r>
    </w:p>
    <w:p>
      <w:pPr>
        <w:pStyle w:val="BodyText"/>
        <w:spacing w:line="249" w:lineRule="auto" w:before="1"/>
        <w:ind w:right="4015"/>
      </w:pPr>
      <w:r>
        <w:rPr/>
        <w:t>Art.</w:t>
      </w:r>
      <w:r>
        <w:rPr>
          <w:spacing w:val="-4"/>
        </w:rPr>
        <w:t> </w:t>
      </w:r>
      <w:r>
        <w:rPr/>
        <w:t>10.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omissos</w:t>
      </w:r>
      <w:r>
        <w:rPr>
          <w:spacing w:val="-4"/>
        </w:rPr>
        <w:t> </w:t>
      </w:r>
      <w:r>
        <w:rPr/>
        <w:t>serão</w:t>
      </w:r>
      <w:r>
        <w:rPr>
          <w:spacing w:val="-4"/>
        </w:rPr>
        <w:t> </w:t>
      </w:r>
      <w:r>
        <w:rPr/>
        <w:t>deliberados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Procurador</w:t>
      </w:r>
      <w:r>
        <w:rPr>
          <w:spacing w:val="-4"/>
        </w:rPr>
        <w:t> </w:t>
      </w:r>
      <w:r>
        <w:rPr/>
        <w:t>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Justiça. Art. 11. O presente Ato entrará em vigor na data de sua publicação.</w:t>
      </w:r>
    </w:p>
    <w:p>
      <w:pPr>
        <w:pStyle w:val="BodyText"/>
        <w:spacing w:line="249" w:lineRule="auto" w:before="2"/>
        <w:ind w:right="6550"/>
      </w:pPr>
      <w:r>
        <w:rPr/>
        <w:t>Art.</w:t>
      </w:r>
      <w:r>
        <w:rPr>
          <w:spacing w:val="-7"/>
        </w:rPr>
        <w:t> </w:t>
      </w:r>
      <w:r>
        <w:rPr/>
        <w:t>12.</w:t>
      </w:r>
      <w:r>
        <w:rPr>
          <w:spacing w:val="-7"/>
        </w:rPr>
        <w:t> </w:t>
      </w:r>
      <w:r>
        <w:rPr/>
        <w:t>Revogam-se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disposições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contrário. Publique-se. Cumpra-se.</w:t>
      </w:r>
    </w:p>
    <w:p>
      <w:pPr>
        <w:pStyle w:val="BodyText"/>
        <w:spacing w:before="1"/>
      </w:pPr>
      <w:r>
        <w:rPr/>
        <w:t>Gabinete do Procurador-Geral de Justiça, em Maceió, 07 de junho de </w:t>
      </w:r>
      <w:r>
        <w:rPr>
          <w:spacing w:val="-2"/>
        </w:rPr>
        <w:t>2024.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"/>
        <w:ind w:left="0"/>
      </w:pPr>
    </w:p>
    <w:p>
      <w:pPr>
        <w:pStyle w:val="BodyText"/>
      </w:pPr>
      <w:r>
        <w:rPr/>
        <w:t>LEAN ANTÔNIO FERREIRA DE </w:t>
      </w:r>
      <w:r>
        <w:rPr>
          <w:spacing w:val="-2"/>
        </w:rPr>
        <w:t>ARAÚJO</w:t>
      </w:r>
    </w:p>
    <w:p>
      <w:pPr>
        <w:pStyle w:val="BodyText"/>
        <w:spacing w:line="501" w:lineRule="auto" w:before="9"/>
        <w:ind w:right="7709"/>
      </w:pPr>
      <w:r>
        <w:rPr/>
        <w:t>Procurador-Geral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Justiça </w:t>
      </w:r>
      <w:r>
        <w:rPr>
          <w:spacing w:val="-2"/>
        </w:rPr>
        <w:t>ANEXO</w:t>
      </w:r>
    </w:p>
    <w:p>
      <w:pPr>
        <w:pStyle w:val="BodyText"/>
        <w:spacing w:before="3"/>
        <w:ind w:left="0"/>
        <w:rPr>
          <w:sz w:val="17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42"/>
        <w:gridCol w:w="5057"/>
      </w:tblGrid>
      <w:tr>
        <w:trPr>
          <w:trHeight w:val="368" w:hRule="atLeast"/>
        </w:trPr>
        <w:tc>
          <w:tcPr>
            <w:tcW w:w="9499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1 - Execução Orçamentária e </w:t>
            </w:r>
            <w:r>
              <w:rPr>
                <w:spacing w:val="-2"/>
                <w:sz w:val="18"/>
              </w:rPr>
              <w:t>Financeira</w:t>
            </w:r>
          </w:p>
        </w:tc>
      </w:tr>
      <w:tr>
        <w:trPr>
          <w:trHeight w:val="384" w:hRule="atLeast"/>
        </w:trPr>
        <w:tc>
          <w:tcPr>
            <w:tcW w:w="4442" w:type="dxa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Crédito Orçamentário e Receitas </w:t>
            </w:r>
            <w:r>
              <w:rPr>
                <w:spacing w:val="-2"/>
                <w:sz w:val="18"/>
              </w:rPr>
              <w:t>Próprias</w:t>
            </w:r>
          </w:p>
        </w:tc>
        <w:tc>
          <w:tcPr>
            <w:tcW w:w="5057" w:type="dxa"/>
          </w:tcPr>
          <w:p>
            <w:pPr>
              <w:pStyle w:val="TableParagraph"/>
              <w:spacing w:before="73"/>
              <w:ind w:left="119"/>
              <w:rPr>
                <w:sz w:val="18"/>
              </w:rPr>
            </w:pPr>
            <w:r>
              <w:rPr>
                <w:sz w:val="18"/>
              </w:rPr>
              <w:t>Coordenadoria de Registro e Demonstrativos </w:t>
            </w:r>
            <w:r>
              <w:rPr>
                <w:spacing w:val="-2"/>
                <w:sz w:val="18"/>
              </w:rPr>
              <w:t>Contábeis</w:t>
            </w:r>
          </w:p>
        </w:tc>
      </w:tr>
      <w:tr>
        <w:trPr>
          <w:trHeight w:val="376" w:hRule="atLeast"/>
        </w:trPr>
        <w:tc>
          <w:tcPr>
            <w:tcW w:w="44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Fundos: Saldos e </w:t>
            </w:r>
            <w:r>
              <w:rPr>
                <w:spacing w:val="-2"/>
                <w:sz w:val="18"/>
              </w:rPr>
              <w:t>Receitas</w:t>
            </w:r>
          </w:p>
        </w:tc>
        <w:tc>
          <w:tcPr>
            <w:tcW w:w="5057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Coordenadoria de Registro e Demonstrativos </w:t>
            </w:r>
            <w:r>
              <w:rPr>
                <w:spacing w:val="-2"/>
                <w:sz w:val="18"/>
              </w:rPr>
              <w:t>Contábeis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Detalhamento das </w:t>
            </w:r>
            <w:r>
              <w:rPr>
                <w:spacing w:val="-2"/>
                <w:sz w:val="18"/>
              </w:rPr>
              <w:t>Despesas</w:t>
            </w:r>
          </w:p>
        </w:tc>
        <w:tc>
          <w:tcPr>
            <w:tcW w:w="5057" w:type="dxa"/>
          </w:tcPr>
          <w:p>
            <w:pPr>
              <w:pStyle w:val="TableParagraph"/>
              <w:spacing w:line="249" w:lineRule="auto"/>
              <w:ind w:left="119" w:right="65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Acompanhamento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Orçamentário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 Registro de Empenho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Despesas por Ação </w:t>
            </w:r>
            <w:r>
              <w:rPr>
                <w:spacing w:val="-2"/>
                <w:sz w:val="18"/>
              </w:rPr>
              <w:t>Orçamentária</w:t>
            </w:r>
          </w:p>
        </w:tc>
        <w:tc>
          <w:tcPr>
            <w:tcW w:w="5057" w:type="dxa"/>
          </w:tcPr>
          <w:p>
            <w:pPr>
              <w:pStyle w:val="TableParagraph"/>
              <w:spacing w:line="249" w:lineRule="auto"/>
              <w:ind w:left="119" w:right="65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Acompanhamento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Orçamentário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 Registro de Empenho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Ordem Cronológica de </w:t>
            </w:r>
            <w:r>
              <w:rPr>
                <w:spacing w:val="-2"/>
                <w:sz w:val="18"/>
              </w:rPr>
              <w:t>Pagamentos</w:t>
            </w:r>
          </w:p>
        </w:tc>
        <w:tc>
          <w:tcPr>
            <w:tcW w:w="5057" w:type="dxa"/>
          </w:tcPr>
          <w:p>
            <w:pPr>
              <w:pStyle w:val="TableParagraph"/>
              <w:spacing w:line="249" w:lineRule="auto"/>
              <w:ind w:left="119" w:right="65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Acompanhamento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Orçamentário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 Registro de Empenho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Empenhos e Pagamentos por </w:t>
            </w:r>
            <w:r>
              <w:rPr>
                <w:spacing w:val="-2"/>
                <w:sz w:val="18"/>
              </w:rPr>
              <w:t>Favorecido</w:t>
            </w:r>
          </w:p>
        </w:tc>
        <w:tc>
          <w:tcPr>
            <w:tcW w:w="5057" w:type="dxa"/>
          </w:tcPr>
          <w:p>
            <w:pPr>
              <w:pStyle w:val="TableParagraph"/>
              <w:spacing w:line="249" w:lineRule="auto"/>
              <w:ind w:left="119" w:right="65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Acompanhamento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Orçamentário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 Registro de Empenho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Despesas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Cartão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Corporativo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Suprimento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Fundos</w:t>
            </w:r>
          </w:p>
        </w:tc>
        <w:tc>
          <w:tcPr>
            <w:tcW w:w="5057" w:type="dxa"/>
          </w:tcPr>
          <w:p>
            <w:pPr>
              <w:pStyle w:val="TableParagraph"/>
              <w:spacing w:line="249" w:lineRule="auto"/>
              <w:ind w:left="119" w:right="65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Acompanhamento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Orçamentário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 Registro de Empenho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Diárias e </w:t>
            </w:r>
            <w:r>
              <w:rPr>
                <w:spacing w:val="-2"/>
                <w:sz w:val="18"/>
              </w:rPr>
              <w:t>Passagens</w:t>
            </w:r>
          </w:p>
        </w:tc>
        <w:tc>
          <w:tcPr>
            <w:tcW w:w="5057" w:type="dxa"/>
          </w:tcPr>
          <w:p>
            <w:pPr>
              <w:pStyle w:val="TableParagraph"/>
              <w:spacing w:line="249" w:lineRule="auto"/>
              <w:ind w:left="119" w:right="65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Acompanhamento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Orçamentário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 Registro de Empenho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Outros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Benefícios: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pagamentos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não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registrados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em </w:t>
            </w:r>
            <w:r>
              <w:rPr>
                <w:spacing w:val="-2"/>
                <w:sz w:val="18"/>
              </w:rPr>
              <w:t>contracheque</w:t>
            </w:r>
          </w:p>
        </w:tc>
        <w:tc>
          <w:tcPr>
            <w:tcW w:w="5057" w:type="dxa"/>
          </w:tcPr>
          <w:p>
            <w:pPr>
              <w:pStyle w:val="TableParagraph"/>
              <w:spacing w:before="173"/>
              <w:ind w:left="119"/>
              <w:rPr>
                <w:sz w:val="18"/>
              </w:rPr>
            </w:pPr>
            <w:r>
              <w:rPr>
                <w:sz w:val="18"/>
              </w:rPr>
              <w:t>Coordenadoria de Registro e Demonstrativos </w:t>
            </w:r>
            <w:r>
              <w:rPr>
                <w:spacing w:val="-2"/>
                <w:sz w:val="18"/>
              </w:rPr>
              <w:t>Contábeis</w:t>
            </w:r>
          </w:p>
        </w:tc>
      </w:tr>
      <w:tr>
        <w:trPr>
          <w:trHeight w:val="376" w:hRule="atLeast"/>
        </w:trPr>
        <w:tc>
          <w:tcPr>
            <w:tcW w:w="444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Repasses aos Fundos ou Institutos </w:t>
            </w:r>
            <w:r>
              <w:rPr>
                <w:spacing w:val="-2"/>
                <w:sz w:val="18"/>
              </w:rPr>
              <w:t>Previdenciários</w:t>
            </w:r>
          </w:p>
        </w:tc>
        <w:tc>
          <w:tcPr>
            <w:tcW w:w="5057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Coordenadoria de Registro e Demonstrativos </w:t>
            </w:r>
            <w:r>
              <w:rPr>
                <w:spacing w:val="-2"/>
                <w:sz w:val="18"/>
              </w:rPr>
              <w:t>Contábeis</w:t>
            </w:r>
          </w:p>
        </w:tc>
      </w:tr>
      <w:tr>
        <w:trPr>
          <w:trHeight w:val="592" w:hRule="atLeast"/>
        </w:trPr>
        <w:tc>
          <w:tcPr>
            <w:tcW w:w="444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Restos a </w:t>
            </w:r>
            <w:r>
              <w:rPr>
                <w:spacing w:val="-2"/>
                <w:sz w:val="18"/>
              </w:rPr>
              <w:t>Pagar</w:t>
            </w:r>
          </w:p>
        </w:tc>
        <w:tc>
          <w:tcPr>
            <w:tcW w:w="5057" w:type="dxa"/>
          </w:tcPr>
          <w:p>
            <w:pPr>
              <w:pStyle w:val="TableParagraph"/>
              <w:spacing w:line="249" w:lineRule="auto"/>
              <w:ind w:left="119" w:right="65"/>
              <w:rPr>
                <w:sz w:val="18"/>
              </w:rPr>
            </w:pPr>
            <w:r>
              <w:rPr>
                <w:sz w:val="18"/>
              </w:rPr>
              <w:t>Seção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Projeto,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Acompanhamento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Orçamentário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 Registro de Empenho</w:t>
            </w:r>
          </w:p>
        </w:tc>
      </w:tr>
      <w:tr>
        <w:trPr>
          <w:trHeight w:val="599" w:hRule="atLeast"/>
        </w:trPr>
        <w:tc>
          <w:tcPr>
            <w:tcW w:w="4442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Limite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Gastos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Pessoas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(Relatório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Gestão </w:t>
            </w:r>
            <w:r>
              <w:rPr>
                <w:spacing w:val="-2"/>
                <w:sz w:val="18"/>
              </w:rPr>
              <w:t>Fiscal)</w:t>
            </w:r>
          </w:p>
        </w:tc>
        <w:tc>
          <w:tcPr>
            <w:tcW w:w="5057" w:type="dxa"/>
          </w:tcPr>
          <w:p>
            <w:pPr>
              <w:pStyle w:val="TableParagraph"/>
              <w:spacing w:before="173"/>
              <w:ind w:left="119"/>
              <w:rPr>
                <w:sz w:val="18"/>
              </w:rPr>
            </w:pPr>
            <w:r>
              <w:rPr>
                <w:sz w:val="18"/>
              </w:rPr>
              <w:t>Coordenadoria de Registro e Demonstrativos </w:t>
            </w:r>
            <w:r>
              <w:rPr>
                <w:spacing w:val="-2"/>
                <w:sz w:val="18"/>
              </w:rPr>
              <w:t>Contábeis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7"/>
          <w:footerReference w:type="default" r:id="rId8"/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1" w:after="1"/>
        <w:ind w:left="0"/>
        <w:rPr>
          <w:sz w:val="20"/>
        </w:rPr>
      </w:pPr>
    </w:p>
    <w:tbl>
      <w:tblPr>
        <w:tblW w:w="0" w:type="auto"/>
        <w:jc w:val="left"/>
        <w:tblInd w:w="2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4"/>
        <w:gridCol w:w="5056"/>
      </w:tblGrid>
      <w:tr>
        <w:trPr>
          <w:trHeight w:val="391" w:hRule="atLeast"/>
        </w:trPr>
        <w:tc>
          <w:tcPr>
            <w:tcW w:w="4434" w:type="dxa"/>
          </w:tcPr>
          <w:p>
            <w:pPr>
              <w:pStyle w:val="TableParagraph"/>
              <w:spacing w:before="73"/>
              <w:ind w:left="119"/>
              <w:rPr>
                <w:sz w:val="18"/>
              </w:rPr>
            </w:pPr>
            <w:r>
              <w:rPr>
                <w:sz w:val="18"/>
              </w:rPr>
              <w:t>Prestação de Contas </w:t>
            </w:r>
            <w:r>
              <w:rPr>
                <w:spacing w:val="-2"/>
                <w:sz w:val="18"/>
              </w:rPr>
              <w:t>Anual</w:t>
            </w:r>
          </w:p>
        </w:tc>
        <w:tc>
          <w:tcPr>
            <w:tcW w:w="5056" w:type="dxa"/>
          </w:tcPr>
          <w:p>
            <w:pPr>
              <w:pStyle w:val="TableParagraph"/>
              <w:spacing w:before="73"/>
              <w:ind w:left="120"/>
              <w:rPr>
                <w:sz w:val="18"/>
              </w:rPr>
            </w:pPr>
            <w:r>
              <w:rPr>
                <w:sz w:val="18"/>
              </w:rPr>
              <w:t>Coordenadoria de Registro e Demonstrativos </w:t>
            </w:r>
            <w:r>
              <w:rPr>
                <w:spacing w:val="-2"/>
                <w:sz w:val="18"/>
              </w:rPr>
              <w:t>Contábeis</w:t>
            </w:r>
          </w:p>
        </w:tc>
      </w:tr>
    </w:tbl>
    <w:p>
      <w:pPr>
        <w:pStyle w:val="BodyText"/>
        <w:spacing w:before="225"/>
        <w:ind w:left="0"/>
        <w:rPr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2"/>
        <w:gridCol w:w="5035"/>
      </w:tblGrid>
      <w:tr>
        <w:trPr>
          <w:trHeight w:val="368" w:hRule="atLeast"/>
        </w:trPr>
        <w:tc>
          <w:tcPr>
            <w:tcW w:w="9497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2 - Licitações, Contratos e </w:t>
            </w:r>
            <w:r>
              <w:rPr>
                <w:spacing w:val="-2"/>
                <w:sz w:val="18"/>
              </w:rPr>
              <w:t>Convênios</w:t>
            </w:r>
          </w:p>
        </w:tc>
      </w:tr>
      <w:tr>
        <w:trPr>
          <w:trHeight w:val="384" w:hRule="atLeast"/>
        </w:trPr>
        <w:tc>
          <w:tcPr>
            <w:tcW w:w="4462" w:type="dxa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spacing w:val="-2"/>
                <w:sz w:val="18"/>
              </w:rPr>
              <w:t>Licitações</w:t>
            </w:r>
          </w:p>
        </w:tc>
        <w:tc>
          <w:tcPr>
            <w:tcW w:w="5035" w:type="dxa"/>
          </w:tcPr>
          <w:p>
            <w:pPr>
              <w:pStyle w:val="TableParagraph"/>
              <w:spacing w:before="73"/>
              <w:ind w:left="120"/>
              <w:rPr>
                <w:sz w:val="18"/>
              </w:rPr>
            </w:pPr>
            <w:r>
              <w:rPr>
                <w:sz w:val="18"/>
              </w:rPr>
              <w:t>Coordenadoria de </w:t>
            </w:r>
            <w:r>
              <w:rPr>
                <w:spacing w:val="-2"/>
                <w:sz w:val="18"/>
              </w:rPr>
              <w:t>Licitações</w:t>
            </w:r>
          </w:p>
        </w:tc>
      </w:tr>
      <w:tr>
        <w:trPr>
          <w:trHeight w:val="592" w:hRule="atLeast"/>
        </w:trPr>
        <w:tc>
          <w:tcPr>
            <w:tcW w:w="4462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Resposta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às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Impugnações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Pedidos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de </w:t>
            </w:r>
            <w:r>
              <w:rPr>
                <w:spacing w:val="-2"/>
                <w:sz w:val="18"/>
              </w:rPr>
              <w:t>Esclarecimentos</w:t>
            </w:r>
          </w:p>
        </w:tc>
        <w:tc>
          <w:tcPr>
            <w:tcW w:w="5035" w:type="dxa"/>
          </w:tcPr>
          <w:p>
            <w:pPr>
              <w:pStyle w:val="TableParagraph"/>
              <w:spacing w:before="173"/>
              <w:ind w:left="120"/>
              <w:rPr>
                <w:sz w:val="18"/>
              </w:rPr>
            </w:pPr>
            <w:r>
              <w:rPr>
                <w:sz w:val="18"/>
              </w:rPr>
              <w:t>Coordenadoria de </w:t>
            </w:r>
            <w:r>
              <w:rPr>
                <w:spacing w:val="-2"/>
                <w:sz w:val="18"/>
              </w:rPr>
              <w:t>Licitações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Dispensa e </w:t>
            </w:r>
            <w:r>
              <w:rPr>
                <w:spacing w:val="-2"/>
                <w:sz w:val="18"/>
              </w:rPr>
              <w:t>Inexigibilidades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Seção de Publicidade e Transparência de </w:t>
            </w:r>
            <w:r>
              <w:rPr>
                <w:spacing w:val="-2"/>
                <w:sz w:val="18"/>
              </w:rPr>
              <w:t>Contratos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Aviso de Interesse em Contratações por </w:t>
            </w:r>
            <w:r>
              <w:rPr>
                <w:spacing w:val="-2"/>
                <w:sz w:val="18"/>
              </w:rPr>
              <w:t>Dispensa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Setor de </w:t>
            </w:r>
            <w:r>
              <w:rPr>
                <w:spacing w:val="-2"/>
                <w:sz w:val="18"/>
              </w:rPr>
              <w:t>Compras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Seção de Publicidade e Transparência de </w:t>
            </w:r>
            <w:r>
              <w:rPr>
                <w:spacing w:val="-2"/>
                <w:sz w:val="18"/>
              </w:rPr>
              <w:t>Contratos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Convênios e Instrumentos </w:t>
            </w:r>
            <w:r>
              <w:rPr>
                <w:spacing w:val="-2"/>
                <w:sz w:val="18"/>
              </w:rPr>
              <w:t>Congêneres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Seção de Publicidade e Transparência de </w:t>
            </w:r>
            <w:r>
              <w:rPr>
                <w:spacing w:val="-2"/>
                <w:sz w:val="18"/>
              </w:rPr>
              <w:t>Contratos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Atas de Registro de Preços Próprias e </w:t>
            </w:r>
            <w:r>
              <w:rPr>
                <w:spacing w:val="-2"/>
                <w:sz w:val="18"/>
              </w:rPr>
              <w:t>Aderidas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Seção de Publicidade e Transparência de </w:t>
            </w:r>
            <w:r>
              <w:rPr>
                <w:spacing w:val="-2"/>
                <w:sz w:val="18"/>
              </w:rPr>
              <w:t>Contratos</w:t>
            </w:r>
          </w:p>
        </w:tc>
      </w:tr>
      <w:tr>
        <w:trPr>
          <w:trHeight w:val="592" w:hRule="atLeast"/>
        </w:trPr>
        <w:tc>
          <w:tcPr>
            <w:tcW w:w="446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Plano Anual de Contratações e </w:t>
            </w:r>
            <w:r>
              <w:rPr>
                <w:spacing w:val="-2"/>
                <w:sz w:val="18"/>
              </w:rPr>
              <w:t>Padronizações</w:t>
            </w:r>
          </w:p>
        </w:tc>
        <w:tc>
          <w:tcPr>
            <w:tcW w:w="5035" w:type="dxa"/>
          </w:tcPr>
          <w:p>
            <w:pPr>
              <w:pStyle w:val="TableParagraph"/>
              <w:spacing w:line="249" w:lineRule="auto"/>
              <w:ind w:left="120"/>
              <w:rPr>
                <w:sz w:val="18"/>
              </w:rPr>
            </w:pPr>
            <w:r>
              <w:rPr>
                <w:sz w:val="18"/>
              </w:rPr>
              <w:t>Coordenadoria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Licitações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responsável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pela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sua </w:t>
            </w:r>
            <w:r>
              <w:rPr>
                <w:spacing w:val="-2"/>
                <w:sz w:val="18"/>
              </w:rPr>
              <w:t>elaboração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Edital de Chamamento de </w:t>
            </w:r>
            <w:r>
              <w:rPr>
                <w:spacing w:val="-2"/>
                <w:sz w:val="18"/>
              </w:rPr>
              <w:t>Interessados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Setor de </w:t>
            </w:r>
            <w:r>
              <w:rPr>
                <w:spacing w:val="-2"/>
                <w:sz w:val="18"/>
              </w:rPr>
              <w:t>Compras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Rol de Licitantes e Bens Pré-</w:t>
            </w:r>
            <w:r>
              <w:rPr>
                <w:spacing w:val="-2"/>
                <w:sz w:val="18"/>
              </w:rPr>
              <w:t>Qualificados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Coordenadoria de </w:t>
            </w:r>
            <w:r>
              <w:rPr>
                <w:spacing w:val="-2"/>
                <w:sz w:val="18"/>
              </w:rPr>
              <w:t>Licitações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Bens </w:t>
            </w:r>
            <w:r>
              <w:rPr>
                <w:spacing w:val="-2"/>
                <w:sz w:val="18"/>
              </w:rPr>
              <w:t>Imóveis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Diretoria de Apoio </w:t>
            </w:r>
            <w:r>
              <w:rPr>
                <w:spacing w:val="-2"/>
                <w:sz w:val="18"/>
              </w:rPr>
              <w:t>Administrativo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Lista de Obras </w:t>
            </w:r>
            <w:r>
              <w:rPr>
                <w:spacing w:val="-2"/>
                <w:sz w:val="18"/>
              </w:rPr>
              <w:t>Concluídas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Seção de </w:t>
            </w:r>
            <w:r>
              <w:rPr>
                <w:spacing w:val="-2"/>
                <w:sz w:val="18"/>
              </w:rPr>
              <w:t>Engenharia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Lista de Obras </w:t>
            </w:r>
            <w:r>
              <w:rPr>
                <w:spacing w:val="-2"/>
                <w:sz w:val="18"/>
              </w:rPr>
              <w:t>Ativas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Seção de </w:t>
            </w:r>
            <w:r>
              <w:rPr>
                <w:spacing w:val="-2"/>
                <w:sz w:val="18"/>
              </w:rPr>
              <w:t>Engenharia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Lista de Obras </w:t>
            </w:r>
            <w:r>
              <w:rPr>
                <w:spacing w:val="-2"/>
                <w:sz w:val="18"/>
              </w:rPr>
              <w:t>Paradas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Seção de </w:t>
            </w:r>
            <w:r>
              <w:rPr>
                <w:spacing w:val="-2"/>
                <w:sz w:val="18"/>
              </w:rPr>
              <w:t>Engenharia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Sanções Aplicadas aos </w:t>
            </w:r>
            <w:r>
              <w:rPr>
                <w:spacing w:val="-2"/>
                <w:sz w:val="18"/>
              </w:rPr>
              <w:t>Contratos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Controladoria Interna (conforme art. 13 do Ato PGJ </w:t>
            </w:r>
            <w:r>
              <w:rPr>
                <w:spacing w:val="-2"/>
                <w:sz w:val="18"/>
              </w:rPr>
              <w:t>1/2016)</w:t>
            </w:r>
          </w:p>
        </w:tc>
      </w:tr>
      <w:tr>
        <w:trPr>
          <w:trHeight w:val="376" w:hRule="atLeast"/>
        </w:trPr>
        <w:tc>
          <w:tcPr>
            <w:tcW w:w="44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Lista de Empresas Suspensas ou </w:t>
            </w:r>
            <w:r>
              <w:rPr>
                <w:spacing w:val="-2"/>
                <w:sz w:val="18"/>
              </w:rPr>
              <w:t>Impedidas</w:t>
            </w:r>
          </w:p>
        </w:tc>
        <w:tc>
          <w:tcPr>
            <w:tcW w:w="5035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Controladoria Interna (conforme art. 13 do Ato PGJ </w:t>
            </w:r>
            <w:r>
              <w:rPr>
                <w:spacing w:val="-2"/>
                <w:sz w:val="18"/>
              </w:rPr>
              <w:t>1/2016)</w:t>
            </w:r>
          </w:p>
        </w:tc>
      </w:tr>
      <w:tr>
        <w:trPr>
          <w:trHeight w:val="599" w:hRule="atLeast"/>
        </w:trPr>
        <w:tc>
          <w:tcPr>
            <w:tcW w:w="4462" w:type="dxa"/>
          </w:tcPr>
          <w:p>
            <w:pPr>
              <w:pStyle w:val="TableParagraph"/>
              <w:spacing w:line="249" w:lineRule="auto"/>
              <w:ind w:right="179"/>
              <w:rPr>
                <w:sz w:val="18"/>
              </w:rPr>
            </w:pPr>
            <w:r>
              <w:rPr>
                <w:sz w:val="18"/>
              </w:rPr>
              <w:t>Prestadores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Empresas </w:t>
            </w:r>
            <w:r>
              <w:rPr>
                <w:spacing w:val="-2"/>
                <w:sz w:val="18"/>
              </w:rPr>
              <w:t>Terceirizadas</w:t>
            </w:r>
          </w:p>
        </w:tc>
        <w:tc>
          <w:tcPr>
            <w:tcW w:w="5035" w:type="dxa"/>
          </w:tcPr>
          <w:p>
            <w:pPr>
              <w:pStyle w:val="TableParagraph"/>
              <w:spacing w:before="173"/>
              <w:ind w:left="120"/>
              <w:rPr>
                <w:sz w:val="18"/>
              </w:rPr>
            </w:pPr>
            <w:r>
              <w:rPr>
                <w:sz w:val="18"/>
              </w:rPr>
              <w:t>Seção de Publicidade e Transparência de </w:t>
            </w:r>
            <w:r>
              <w:rPr>
                <w:spacing w:val="-2"/>
                <w:sz w:val="18"/>
              </w:rPr>
              <w:t>Contratos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2"/>
        <w:gridCol w:w="3676"/>
      </w:tblGrid>
      <w:tr>
        <w:trPr>
          <w:trHeight w:val="376" w:hRule="atLeast"/>
        </w:trPr>
        <w:tc>
          <w:tcPr>
            <w:tcW w:w="9498" w:type="dxa"/>
            <w:gridSpan w:val="2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3 - Gestão de </w:t>
            </w:r>
            <w:r>
              <w:rPr>
                <w:spacing w:val="-2"/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Quadro de </w:t>
            </w:r>
            <w:r>
              <w:rPr>
                <w:spacing w:val="-2"/>
                <w:sz w:val="18"/>
              </w:rPr>
              <w:t>Membros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Quadro de </w:t>
            </w:r>
            <w:r>
              <w:rPr>
                <w:spacing w:val="-2"/>
                <w:sz w:val="18"/>
              </w:rPr>
              <w:t>Servidores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pacing w:val="-2"/>
                <w:sz w:val="18"/>
              </w:rPr>
              <w:t>Pensionistas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Servidores </w:t>
            </w:r>
            <w:r>
              <w:rPr>
                <w:spacing w:val="-2"/>
                <w:sz w:val="18"/>
              </w:rPr>
              <w:t>Cedidos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Servidores em </w:t>
            </w:r>
            <w:r>
              <w:rPr>
                <w:spacing w:val="-2"/>
                <w:sz w:val="18"/>
              </w:rPr>
              <w:t>Teletrabalho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</w:tbl>
    <w:p>
      <w:pPr>
        <w:pStyle w:val="TableParagraph"/>
        <w:spacing w:after="0" w:line="249" w:lineRule="auto"/>
        <w:rPr>
          <w:sz w:val="18"/>
        </w:rPr>
        <w:sectPr>
          <w:pgSz w:w="11900" w:h="16840"/>
          <w:pgMar w:header="799" w:footer="725" w:top="2540" w:bottom="920" w:left="566" w:right="566"/>
        </w:sectPr>
      </w:pPr>
    </w:p>
    <w:p>
      <w:pPr>
        <w:pStyle w:val="BodyText"/>
        <w:spacing w:before="9"/>
        <w:ind w:left="0"/>
        <w:rPr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22"/>
        <w:gridCol w:w="3676"/>
      </w:tblGrid>
      <w:tr>
        <w:trPr>
          <w:trHeight w:val="376" w:hRule="atLeast"/>
        </w:trPr>
        <w:tc>
          <w:tcPr>
            <w:tcW w:w="58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Colaboradores</w:t>
            </w:r>
          </w:p>
        </w:tc>
        <w:tc>
          <w:tcPr>
            <w:tcW w:w="3676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Escola Superior do Ministério </w:t>
            </w:r>
            <w:r>
              <w:rPr>
                <w:spacing w:val="-2"/>
                <w:sz w:val="18"/>
              </w:rPr>
              <w:t>Público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Membros/Servidores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Funções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Gratificadas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ou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Cargos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em </w:t>
            </w:r>
            <w:r>
              <w:rPr>
                <w:spacing w:val="-2"/>
                <w:sz w:val="18"/>
              </w:rPr>
              <w:t>Comissão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376" w:hRule="atLeast"/>
        </w:trPr>
        <w:tc>
          <w:tcPr>
            <w:tcW w:w="58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Estagiários</w:t>
            </w:r>
          </w:p>
        </w:tc>
        <w:tc>
          <w:tcPr>
            <w:tcW w:w="3676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Diretoria de Recursos </w:t>
            </w:r>
            <w:r>
              <w:rPr>
                <w:spacing w:val="-2"/>
                <w:sz w:val="18"/>
              </w:rPr>
              <w:t>Humanos</w:t>
            </w:r>
          </w:p>
        </w:tc>
      </w:tr>
      <w:tr>
        <w:trPr>
          <w:trHeight w:val="376" w:hRule="atLeast"/>
        </w:trPr>
        <w:tc>
          <w:tcPr>
            <w:tcW w:w="58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Convocações de </w:t>
            </w:r>
            <w:r>
              <w:rPr>
                <w:spacing w:val="-2"/>
                <w:sz w:val="18"/>
              </w:rPr>
              <w:t>Estágio</w:t>
            </w:r>
          </w:p>
        </w:tc>
        <w:tc>
          <w:tcPr>
            <w:tcW w:w="3676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Escola Superior do Ministério </w:t>
            </w:r>
            <w:r>
              <w:rPr>
                <w:spacing w:val="-2"/>
                <w:sz w:val="18"/>
              </w:rPr>
              <w:t>Público</w:t>
            </w:r>
          </w:p>
        </w:tc>
      </w:tr>
      <w:tr>
        <w:trPr>
          <w:trHeight w:val="376" w:hRule="atLeast"/>
        </w:trPr>
        <w:tc>
          <w:tcPr>
            <w:tcW w:w="58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Seleções de </w:t>
            </w:r>
            <w:r>
              <w:rPr>
                <w:spacing w:val="-2"/>
                <w:sz w:val="18"/>
              </w:rPr>
              <w:t>Estágio</w:t>
            </w:r>
          </w:p>
        </w:tc>
        <w:tc>
          <w:tcPr>
            <w:tcW w:w="3676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Escola Superior do Ministério </w:t>
            </w:r>
            <w:r>
              <w:rPr>
                <w:spacing w:val="-2"/>
                <w:sz w:val="18"/>
              </w:rPr>
              <w:t>Público</w:t>
            </w:r>
          </w:p>
        </w:tc>
      </w:tr>
      <w:tr>
        <w:trPr>
          <w:trHeight w:val="376" w:hRule="atLeast"/>
        </w:trPr>
        <w:tc>
          <w:tcPr>
            <w:tcW w:w="582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Plano de Carreira e Estrutura </w:t>
            </w:r>
            <w:r>
              <w:rPr>
                <w:spacing w:val="-2"/>
                <w:sz w:val="18"/>
              </w:rPr>
              <w:t>Remuneratória</w:t>
            </w:r>
          </w:p>
        </w:tc>
        <w:tc>
          <w:tcPr>
            <w:tcW w:w="3676" w:type="dxa"/>
          </w:tcPr>
          <w:p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Coordenadoria de Pagamento de </w:t>
            </w:r>
            <w:r>
              <w:rPr>
                <w:spacing w:val="-2"/>
                <w:sz w:val="18"/>
              </w:rPr>
              <w:t>Pessoal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Concursos e Seleções Realizadas pelo </w:t>
            </w:r>
            <w:r>
              <w:rPr>
                <w:spacing w:val="-2"/>
                <w:sz w:val="18"/>
              </w:rPr>
              <w:t>Órgão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z w:val="18"/>
              </w:rPr>
              <w:t>Cargos Vagos e </w:t>
            </w:r>
            <w:r>
              <w:rPr>
                <w:spacing w:val="-2"/>
                <w:sz w:val="18"/>
              </w:rPr>
              <w:t>Ocupados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line="249" w:lineRule="auto"/>
              <w:ind w:right="156"/>
              <w:rPr>
                <w:sz w:val="18"/>
              </w:rPr>
            </w:pPr>
            <w:r>
              <w:rPr>
                <w:sz w:val="18"/>
              </w:rPr>
              <w:t>Cargos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Comissão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Funções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Confiança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Ocupados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Vagos por Membros e Servidores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pacing w:val="-2"/>
                <w:sz w:val="18"/>
              </w:rPr>
              <w:t>Provimentos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  <w:tr>
        <w:trPr>
          <w:trHeight w:val="592" w:hRule="atLeast"/>
        </w:trPr>
        <w:tc>
          <w:tcPr>
            <w:tcW w:w="5822" w:type="dxa"/>
          </w:tcPr>
          <w:p>
            <w:pPr>
              <w:pStyle w:val="TableParagraph"/>
              <w:spacing w:before="173"/>
              <w:rPr>
                <w:sz w:val="18"/>
              </w:rPr>
            </w:pPr>
            <w:r>
              <w:rPr>
                <w:spacing w:val="-2"/>
                <w:sz w:val="18"/>
              </w:rPr>
              <w:t>Vacâncias</w:t>
            </w:r>
          </w:p>
        </w:tc>
        <w:tc>
          <w:tcPr>
            <w:tcW w:w="3676" w:type="dxa"/>
          </w:tcPr>
          <w:p>
            <w:pPr>
              <w:pStyle w:val="TableParagraph"/>
              <w:spacing w:line="249" w:lineRule="auto"/>
              <w:ind w:left="119"/>
              <w:rPr>
                <w:sz w:val="18"/>
              </w:rPr>
            </w:pPr>
            <w:r>
              <w:rPr>
                <w:sz w:val="18"/>
              </w:rPr>
              <w:t>Coordenadoria de Gestão e Desenvolvimento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Pessoas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tbl>
      <w:tblPr>
        <w:tblW w:w="0" w:type="auto"/>
        <w:jc w:val="left"/>
        <w:tblInd w:w="2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9"/>
        <w:gridCol w:w="3591"/>
      </w:tblGrid>
      <w:tr>
        <w:trPr>
          <w:trHeight w:val="383" w:hRule="atLeast"/>
        </w:trPr>
        <w:tc>
          <w:tcPr>
            <w:tcW w:w="4539" w:type="dxa"/>
          </w:tcPr>
          <w:p>
            <w:pPr>
              <w:pStyle w:val="TableParagraph"/>
              <w:spacing w:before="73"/>
              <w:rPr>
                <w:sz w:val="18"/>
              </w:rPr>
            </w:pPr>
            <w:r>
              <w:rPr>
                <w:sz w:val="18"/>
              </w:rPr>
              <w:t>4. Planejamento </w:t>
            </w:r>
            <w:r>
              <w:rPr>
                <w:spacing w:val="-2"/>
                <w:sz w:val="18"/>
              </w:rPr>
              <w:t>Estratégico</w:t>
            </w:r>
          </w:p>
        </w:tc>
        <w:tc>
          <w:tcPr>
            <w:tcW w:w="3591" w:type="dxa"/>
          </w:tcPr>
          <w:p>
            <w:pPr>
              <w:pStyle w:val="TableParagraph"/>
              <w:spacing w:before="73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ASPLAGE</w:t>
            </w:r>
          </w:p>
        </w:tc>
      </w:tr>
      <w:tr>
        <w:trPr>
          <w:trHeight w:val="376" w:hRule="atLeast"/>
        </w:trPr>
        <w:tc>
          <w:tcPr>
            <w:tcW w:w="45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 </w:t>
            </w:r>
            <w:r>
              <w:rPr>
                <w:spacing w:val="-2"/>
                <w:sz w:val="18"/>
              </w:rPr>
              <w:t>Contato</w:t>
            </w:r>
          </w:p>
        </w:tc>
        <w:tc>
          <w:tcPr>
            <w:tcW w:w="3591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Diretoria </w:t>
            </w:r>
            <w:r>
              <w:rPr>
                <w:spacing w:val="-2"/>
                <w:sz w:val="18"/>
              </w:rPr>
              <w:t>Geral</w:t>
            </w:r>
          </w:p>
        </w:tc>
      </w:tr>
      <w:tr>
        <w:trPr>
          <w:trHeight w:val="376" w:hRule="atLeast"/>
        </w:trPr>
        <w:tc>
          <w:tcPr>
            <w:tcW w:w="45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 </w:t>
            </w:r>
            <w:r>
              <w:rPr>
                <w:spacing w:val="-2"/>
                <w:sz w:val="18"/>
              </w:rPr>
              <w:t>Contracheque</w:t>
            </w:r>
          </w:p>
        </w:tc>
        <w:tc>
          <w:tcPr>
            <w:tcW w:w="3591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Coordenadoria de Pagamento de </w:t>
            </w:r>
            <w:r>
              <w:rPr>
                <w:spacing w:val="-2"/>
                <w:sz w:val="18"/>
              </w:rPr>
              <w:t>Pessoal</w:t>
            </w:r>
          </w:p>
        </w:tc>
      </w:tr>
      <w:tr>
        <w:trPr>
          <w:trHeight w:val="376" w:hRule="atLeast"/>
        </w:trPr>
        <w:tc>
          <w:tcPr>
            <w:tcW w:w="45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7. Atividade-</w:t>
            </w:r>
            <w:r>
              <w:rPr>
                <w:spacing w:val="-5"/>
                <w:sz w:val="18"/>
              </w:rPr>
              <w:t>fim</w:t>
            </w:r>
          </w:p>
        </w:tc>
        <w:tc>
          <w:tcPr>
            <w:tcW w:w="3591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Corregedoria </w:t>
            </w:r>
            <w:r>
              <w:rPr>
                <w:spacing w:val="-2"/>
                <w:sz w:val="18"/>
              </w:rPr>
              <w:t>Geral</w:t>
            </w:r>
          </w:p>
        </w:tc>
      </w:tr>
      <w:tr>
        <w:trPr>
          <w:trHeight w:val="376" w:hRule="atLeast"/>
        </w:trPr>
        <w:tc>
          <w:tcPr>
            <w:tcW w:w="45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 SIC – Serviço de Informação ao </w:t>
            </w:r>
            <w:r>
              <w:rPr>
                <w:spacing w:val="-2"/>
                <w:sz w:val="18"/>
              </w:rPr>
              <w:t>Cidadão/Ouvidoria</w:t>
            </w:r>
          </w:p>
        </w:tc>
        <w:tc>
          <w:tcPr>
            <w:tcW w:w="3591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Ouvidoria</w:t>
            </w:r>
          </w:p>
        </w:tc>
      </w:tr>
      <w:tr>
        <w:trPr>
          <w:trHeight w:val="383" w:hRule="atLeast"/>
        </w:trPr>
        <w:tc>
          <w:tcPr>
            <w:tcW w:w="453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9. Publicação Anual do </w:t>
            </w:r>
            <w:r>
              <w:rPr>
                <w:spacing w:val="-5"/>
                <w:sz w:val="18"/>
              </w:rPr>
              <w:t>SIC</w:t>
            </w:r>
          </w:p>
        </w:tc>
        <w:tc>
          <w:tcPr>
            <w:tcW w:w="3591" w:type="dxa"/>
          </w:tcPr>
          <w:p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Ouvidoria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61"/>
        <w:ind w:left="0"/>
      </w:pPr>
    </w:p>
    <w:p>
      <w:pPr>
        <w:pStyle w:val="Heading1"/>
      </w:pPr>
      <w:r>
        <w:rPr/>
        <w:t>Despachos do Procurador-Geral de </w:t>
      </w:r>
      <w:r>
        <w:rPr>
          <w:spacing w:val="-2"/>
        </w:rPr>
        <w:t>Justiça</w:t>
      </w:r>
    </w:p>
    <w:p>
      <w:pPr>
        <w:pStyle w:val="BodyText"/>
        <w:spacing w:before="42"/>
        <w:ind w:left="0"/>
        <w:rPr>
          <w:rFonts w:ascii="Arial"/>
          <w:b/>
        </w:rPr>
      </w:pPr>
    </w:p>
    <w:p>
      <w:pPr>
        <w:pStyle w:val="BodyText"/>
        <w:spacing w:line="249" w:lineRule="auto"/>
      </w:pPr>
      <w:r>
        <w:rPr/>
        <w:t>O</w:t>
      </w:r>
      <w:r>
        <w:rPr>
          <w:spacing w:val="62"/>
        </w:rPr>
        <w:t> </w:t>
      </w:r>
      <w:r>
        <w:rPr/>
        <w:t>PROCURADOR-GERAL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JUSTIÇA</w:t>
      </w:r>
      <w:r>
        <w:rPr>
          <w:spacing w:val="62"/>
        </w:rPr>
        <w:t> </w:t>
      </w:r>
      <w:r>
        <w:rPr/>
        <w:t>DO</w:t>
      </w:r>
      <w:r>
        <w:rPr>
          <w:spacing w:val="62"/>
        </w:rPr>
        <w:t> </w:t>
      </w:r>
      <w:r>
        <w:rPr/>
        <w:t>ESTADO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ALAGOAS,</w:t>
      </w:r>
      <w:r>
        <w:rPr>
          <w:spacing w:val="62"/>
        </w:rPr>
        <w:t> </w:t>
      </w:r>
      <w:r>
        <w:rPr/>
        <w:t>DR.</w:t>
      </w:r>
      <w:r>
        <w:rPr>
          <w:spacing w:val="62"/>
        </w:rPr>
        <w:t> </w:t>
      </w:r>
      <w:r>
        <w:rPr/>
        <w:t>LEAN</w:t>
      </w:r>
      <w:r>
        <w:rPr>
          <w:spacing w:val="62"/>
        </w:rPr>
        <w:t> </w:t>
      </w:r>
      <w:r>
        <w:rPr/>
        <w:t>ANTÔNIO</w:t>
      </w:r>
      <w:r>
        <w:rPr>
          <w:spacing w:val="62"/>
        </w:rPr>
        <w:t> </w:t>
      </w:r>
      <w:r>
        <w:rPr/>
        <w:t>FERREIRA</w:t>
      </w:r>
      <w:r>
        <w:rPr>
          <w:spacing w:val="62"/>
        </w:rPr>
        <w:t> </w:t>
      </w:r>
      <w:r>
        <w:rPr/>
        <w:t>DE</w:t>
      </w:r>
      <w:r>
        <w:rPr>
          <w:spacing w:val="62"/>
        </w:rPr>
        <w:t> </w:t>
      </w:r>
      <w:r>
        <w:rPr/>
        <w:t>ARAÚJO, DESPACHOU NO DIA 07 DE JUNHO DO CORRENTE ANO, OS SEGUINTES PROCESSOS: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Proc:02.2024.00002548-</w:t>
      </w:r>
      <w:r>
        <w:rPr>
          <w:spacing w:val="-5"/>
        </w:rPr>
        <w:t>1.</w:t>
      </w:r>
    </w:p>
    <w:p>
      <w:pPr>
        <w:pStyle w:val="BodyText"/>
        <w:spacing w:line="249" w:lineRule="auto" w:before="9"/>
        <w:ind w:right="5461"/>
      </w:pPr>
      <w:r>
        <w:rPr/>
        <w:t>Interessado:</w:t>
      </w:r>
      <w:r>
        <w:rPr>
          <w:spacing w:val="-8"/>
        </w:rPr>
        <w:t> </w:t>
      </w:r>
      <w:r>
        <w:rPr/>
        <w:t>Ouvidoria</w:t>
      </w:r>
      <w:r>
        <w:rPr>
          <w:spacing w:val="-8"/>
        </w:rPr>
        <w:t> </w:t>
      </w:r>
      <w:r>
        <w:rPr/>
        <w:t>Nacional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Direitos</w:t>
      </w:r>
      <w:r>
        <w:rPr>
          <w:spacing w:val="-8"/>
        </w:rPr>
        <w:t> </w:t>
      </w:r>
      <w:r>
        <w:rPr/>
        <w:t>Humanos. Assunto: Requerimento de providências.</w:t>
      </w:r>
    </w:p>
    <w:p>
      <w:pPr>
        <w:pStyle w:val="BodyText"/>
        <w:spacing w:line="249" w:lineRule="auto" w:before="2"/>
        <w:ind w:right="172"/>
      </w:pPr>
      <w:r>
        <w:rPr/>
        <w:t>Despacho: Em face das informações prestadas pela 60ª Promotoria de Justiça da Capital, à fl. 13, cientifique-se o interessado. Em seguida, arquive-se.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/>
        <w:t>Proc:02.2024.00003808-</w:t>
      </w:r>
      <w:r>
        <w:rPr>
          <w:spacing w:val="-5"/>
        </w:rPr>
        <w:t>7.</w:t>
      </w:r>
    </w:p>
    <w:p>
      <w:pPr>
        <w:pStyle w:val="BodyText"/>
        <w:spacing w:before="9"/>
      </w:pPr>
      <w:r>
        <w:rPr/>
        <w:t>Interessado: </w:t>
      </w:r>
      <w:r>
        <w:rPr>
          <w:spacing w:val="-2"/>
        </w:rPr>
        <w:t>NUDEPAT.</w:t>
      </w:r>
    </w:p>
    <w:p>
      <w:pPr>
        <w:pStyle w:val="BodyText"/>
        <w:spacing w:before="9"/>
        <w:jc w:val="both"/>
      </w:pPr>
      <w:r>
        <w:rPr/>
        <w:t>Assunto: Requerimento de </w:t>
      </w:r>
      <w:r>
        <w:rPr>
          <w:spacing w:val="-2"/>
        </w:rPr>
        <w:t>providências.</w:t>
      </w:r>
    </w:p>
    <w:p>
      <w:pPr>
        <w:pStyle w:val="BodyText"/>
        <w:spacing w:line="249" w:lineRule="auto" w:before="9"/>
        <w:ind w:right="228"/>
        <w:jc w:val="both"/>
      </w:pPr>
      <w:r>
        <w:rPr/>
        <w:t>Despacho: Visando a execução do acordo ora celebrado, encaminhe-se cópia ao Tribunal de Contas do Estado de Alagoas, ao Ministério Público de Contas do Estado de Alagoas e ao NUDEPAT. Em seguida à Coordenadoria de Contratos e Convênios para arquivamento.</w:t>
      </w:r>
    </w:p>
    <w:sectPr>
      <w:pgSz w:w="11900" w:h="16840"/>
      <w:pgMar w:header="799" w:footer="725" w:top="254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056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9424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7568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603891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8080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603840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640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5840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152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.919998pt;margin-top:793.757813pt;width:433.25pt;height:10.95pt;mso-position-horizontal-relative:page;mso-position-vertical-relative:page;z-index:-1603532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1664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6034816" type="#_x0000_t202" id="docshape9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78592">
          <wp:simplePos x="0" y="0"/>
          <wp:positionH relativeFrom="page">
            <wp:posOffset>456451</wp:posOffset>
          </wp:positionH>
          <wp:positionV relativeFrom="page">
            <wp:posOffset>507626</wp:posOffset>
          </wp:positionV>
          <wp:extent cx="6655922" cy="782737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5922" cy="782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104">
              <wp:simplePos x="0" y="0"/>
              <wp:positionH relativeFrom="page">
                <wp:posOffset>431800</wp:posOffset>
              </wp:positionH>
              <wp:positionV relativeFrom="page">
                <wp:posOffset>1613280</wp:posOffset>
              </wp:positionV>
              <wp:extent cx="669290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37376" from="34pt,127.029999pt" to="561pt,127.029999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79616">
              <wp:simplePos x="0" y="0"/>
              <wp:positionH relativeFrom="page">
                <wp:posOffset>419100</wp:posOffset>
              </wp:positionH>
              <wp:positionV relativeFrom="page">
                <wp:posOffset>1370108</wp:posOffset>
              </wp:positionV>
              <wp:extent cx="2370455" cy="15367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3704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Data de disponibilização: 10 de junho de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107.882538pt;width:186.65pt;height:12.1pt;mso-position-horizontal-relative:page;mso-position-vertical-relative:page;z-index:-1603686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Data de disponibilização: 10 de junho de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80128">
              <wp:simplePos x="0" y="0"/>
              <wp:positionH relativeFrom="page">
                <wp:posOffset>6339974</wp:posOffset>
              </wp:positionH>
              <wp:positionV relativeFrom="page">
                <wp:posOffset>1370108</wp:posOffset>
              </wp:positionV>
              <wp:extent cx="798195" cy="15367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981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Edição nº </w:t>
                          </w:r>
                          <w:r>
                            <w:rPr>
                              <w:spacing w:val="-4"/>
                            </w:rPr>
                            <w:t>1145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210571pt;margin-top:107.882538pt;width:62.85pt;height:12.1pt;mso-position-horizontal-relative:page;mso-position-vertical-relative:page;z-index:-1603635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Edição nº </w:t>
                    </w:r>
                    <w:r>
                      <w:rPr>
                        <w:spacing w:val="-4"/>
                      </w:rPr>
                      <w:t>1145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4" w:hanging="10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10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1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1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1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1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1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1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10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234" w:right="227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5"/>
      <w:ind w:left="127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2025-07-18T16:16:39Z</dcterms:created>
  <dcterms:modified xsi:type="dcterms:W3CDTF">2025-07-18T16:16:39Z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2025-07-18T00:00:00Z</vt:filetime>
  </property>
</Properties>
</file>