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rPr>
      </w:pPr>
    </w:p>
    <w:p>
      <w:pPr>
        <w:pStyle w:val="BodyText"/>
        <w:ind w:left="92"/>
      </w:pPr>
      <w:r>
        <w:rPr/>
        <w:t>cumprimento dos benefícios esperados e o relacionamento com os </w:t>
      </w:r>
      <w:r>
        <w:rPr>
          <w:spacing w:val="-2"/>
        </w:rPr>
        <w:t>clientes.</w:t>
      </w:r>
    </w:p>
    <w:p>
      <w:pPr>
        <w:pStyle w:val="BodyText"/>
        <w:spacing w:before="18"/>
      </w:pPr>
    </w:p>
    <w:p>
      <w:pPr>
        <w:pStyle w:val="BodyText"/>
        <w:spacing w:line="501" w:lineRule="auto"/>
        <w:ind w:left="92" w:right="2497"/>
      </w:pPr>
      <w:r>
        <w:rPr/>
        <w:t>§2°</w:t>
      </w:r>
      <w:r>
        <w:rPr>
          <w:spacing w:val="-3"/>
        </w:rPr>
        <w:t> </w:t>
      </w:r>
      <w:r>
        <w:rPr/>
        <w:t>Casos</w:t>
      </w:r>
      <w:r>
        <w:rPr>
          <w:spacing w:val="-3"/>
        </w:rPr>
        <w:t> </w:t>
      </w:r>
      <w:r>
        <w:rPr/>
        <w:t>excepcionais</w:t>
      </w:r>
      <w:r>
        <w:rPr>
          <w:spacing w:val="-3"/>
        </w:rPr>
        <w:t> </w:t>
      </w:r>
      <w:r>
        <w:rPr/>
        <w:t>que</w:t>
      </w:r>
      <w:r>
        <w:rPr>
          <w:spacing w:val="-3"/>
        </w:rPr>
        <w:t> </w:t>
      </w:r>
      <w:r>
        <w:rPr/>
        <w:t>não</w:t>
      </w:r>
      <w:r>
        <w:rPr>
          <w:spacing w:val="-3"/>
        </w:rPr>
        <w:t> </w:t>
      </w:r>
      <w:r>
        <w:rPr/>
        <w:t>possam</w:t>
      </w:r>
      <w:r>
        <w:rPr>
          <w:spacing w:val="-3"/>
        </w:rPr>
        <w:t> </w:t>
      </w:r>
      <w:r>
        <w:rPr/>
        <w:t>ser</w:t>
      </w:r>
      <w:r>
        <w:rPr>
          <w:spacing w:val="-3"/>
        </w:rPr>
        <w:t> </w:t>
      </w:r>
      <w:r>
        <w:rPr/>
        <w:t>tratados</w:t>
      </w:r>
      <w:r>
        <w:rPr>
          <w:spacing w:val="-3"/>
        </w:rPr>
        <w:t> </w:t>
      </w:r>
      <w:r>
        <w:rPr/>
        <w:t>por</w:t>
      </w:r>
      <w:r>
        <w:rPr>
          <w:spacing w:val="-3"/>
        </w:rPr>
        <w:t> </w:t>
      </w:r>
      <w:r>
        <w:rPr/>
        <w:t>esse</w:t>
      </w:r>
      <w:r>
        <w:rPr>
          <w:spacing w:val="-3"/>
        </w:rPr>
        <w:t> </w:t>
      </w:r>
      <w:r>
        <w:rPr/>
        <w:t>rito</w:t>
      </w:r>
      <w:r>
        <w:rPr>
          <w:spacing w:val="-3"/>
        </w:rPr>
        <w:t> </w:t>
      </w:r>
      <w:r>
        <w:rPr/>
        <w:t>serão</w:t>
      </w:r>
      <w:r>
        <w:rPr>
          <w:spacing w:val="-3"/>
        </w:rPr>
        <w:t> </w:t>
      </w:r>
      <w:r>
        <w:rPr/>
        <w:t>apreciados</w:t>
      </w:r>
      <w:r>
        <w:rPr>
          <w:spacing w:val="-3"/>
        </w:rPr>
        <w:t> </w:t>
      </w:r>
      <w:r>
        <w:rPr/>
        <w:t>pelo</w:t>
      </w:r>
      <w:r>
        <w:rPr>
          <w:spacing w:val="-3"/>
        </w:rPr>
        <w:t> </w:t>
      </w:r>
      <w:r>
        <w:rPr/>
        <w:t>CETI. Art. 9º Caberá à Seção de Projetos de Tecnologia da Informação:</w:t>
      </w:r>
    </w:p>
    <w:p>
      <w:pPr>
        <w:pStyle w:val="ListParagraph"/>
        <w:numPr>
          <w:ilvl w:val="0"/>
          <w:numId w:val="1"/>
        </w:numPr>
        <w:tabs>
          <w:tab w:pos="199" w:val="left" w:leader="none"/>
        </w:tabs>
        <w:spacing w:line="249" w:lineRule="auto" w:before="0" w:after="0"/>
        <w:ind w:left="92" w:right="87" w:firstLine="0"/>
        <w:jc w:val="both"/>
        <w:rPr>
          <w:sz w:val="18"/>
        </w:rPr>
      </w:pPr>
      <w:r>
        <w:rPr>
          <w:sz w:val="18"/>
        </w:rPr>
        <w:t>- acompanhar a execução dos programas e projetos de TI; II - acompanhar a entrega de produtos e serviços de TI junto aos </w:t>
      </w:r>
      <w:r>
        <w:rPr>
          <w:spacing w:val="-2"/>
          <w:sz w:val="18"/>
        </w:rPr>
        <w:t>clientes;</w:t>
      </w:r>
    </w:p>
    <w:p>
      <w:pPr>
        <w:pStyle w:val="ListParagraph"/>
        <w:numPr>
          <w:ilvl w:val="0"/>
          <w:numId w:val="1"/>
        </w:numPr>
        <w:tabs>
          <w:tab w:pos="242" w:val="left" w:leader="none"/>
        </w:tabs>
        <w:spacing w:line="432" w:lineRule="exact" w:before="40" w:after="0"/>
        <w:ind w:left="92" w:right="1615" w:firstLine="0"/>
        <w:jc w:val="left"/>
        <w:rPr>
          <w:sz w:val="18"/>
        </w:rPr>
      </w:pPr>
      <w:r>
        <w:rPr>
          <w:sz w:val="18"/>
        </w:rPr>
        <w:t>-</w:t>
      </w:r>
      <w:r>
        <w:rPr>
          <w:spacing w:val="-3"/>
          <w:sz w:val="18"/>
        </w:rPr>
        <w:t> </w:t>
      </w:r>
      <w:r>
        <w:rPr>
          <w:sz w:val="18"/>
        </w:rPr>
        <w:t>verificar,</w:t>
      </w:r>
      <w:r>
        <w:rPr>
          <w:spacing w:val="-3"/>
          <w:sz w:val="18"/>
        </w:rPr>
        <w:t> </w:t>
      </w:r>
      <w:r>
        <w:rPr>
          <w:sz w:val="18"/>
        </w:rPr>
        <w:t>junto</w:t>
      </w:r>
      <w:r>
        <w:rPr>
          <w:spacing w:val="-3"/>
          <w:sz w:val="18"/>
        </w:rPr>
        <w:t> </w:t>
      </w:r>
      <w:r>
        <w:rPr>
          <w:sz w:val="18"/>
        </w:rPr>
        <w:t>ao</w:t>
      </w:r>
      <w:r>
        <w:rPr>
          <w:spacing w:val="-3"/>
          <w:sz w:val="18"/>
        </w:rPr>
        <w:t> </w:t>
      </w:r>
      <w:r>
        <w:rPr>
          <w:sz w:val="18"/>
        </w:rPr>
        <w:t>demandante</w:t>
      </w:r>
      <w:r>
        <w:rPr>
          <w:spacing w:val="-3"/>
          <w:sz w:val="18"/>
        </w:rPr>
        <w:t> </w:t>
      </w:r>
      <w:r>
        <w:rPr>
          <w:sz w:val="18"/>
        </w:rPr>
        <w:t>/</w:t>
      </w:r>
      <w:r>
        <w:rPr>
          <w:spacing w:val="-3"/>
          <w:sz w:val="18"/>
        </w:rPr>
        <w:t> </w:t>
      </w:r>
      <w:r>
        <w:rPr>
          <w:sz w:val="18"/>
        </w:rPr>
        <w:t>gestor</w:t>
      </w:r>
      <w:r>
        <w:rPr>
          <w:spacing w:val="-3"/>
          <w:sz w:val="18"/>
        </w:rPr>
        <w:t> </w:t>
      </w:r>
      <w:r>
        <w:rPr>
          <w:sz w:val="18"/>
        </w:rPr>
        <w:t>de</w:t>
      </w:r>
      <w:r>
        <w:rPr>
          <w:spacing w:val="-3"/>
          <w:sz w:val="18"/>
        </w:rPr>
        <w:t> </w:t>
      </w:r>
      <w:r>
        <w:rPr>
          <w:sz w:val="18"/>
        </w:rPr>
        <w:t>negócios,</w:t>
      </w:r>
      <w:r>
        <w:rPr>
          <w:spacing w:val="-3"/>
          <w:sz w:val="18"/>
        </w:rPr>
        <w:t> </w:t>
      </w:r>
      <w:r>
        <w:rPr>
          <w:sz w:val="18"/>
        </w:rPr>
        <w:t>sua</w:t>
      </w:r>
      <w:r>
        <w:rPr>
          <w:spacing w:val="-3"/>
          <w:sz w:val="18"/>
        </w:rPr>
        <w:t> </w:t>
      </w:r>
      <w:r>
        <w:rPr>
          <w:sz w:val="18"/>
        </w:rPr>
        <w:t>satisfação</w:t>
      </w:r>
      <w:r>
        <w:rPr>
          <w:spacing w:val="-3"/>
          <w:sz w:val="18"/>
        </w:rPr>
        <w:t> </w:t>
      </w:r>
      <w:r>
        <w:rPr>
          <w:sz w:val="18"/>
        </w:rPr>
        <w:t>com</w:t>
      </w:r>
      <w:r>
        <w:rPr>
          <w:spacing w:val="-3"/>
          <w:sz w:val="18"/>
        </w:rPr>
        <w:t> </w:t>
      </w:r>
      <w:r>
        <w:rPr>
          <w:sz w:val="18"/>
        </w:rPr>
        <w:t>os</w:t>
      </w:r>
      <w:r>
        <w:rPr>
          <w:spacing w:val="-3"/>
          <w:sz w:val="18"/>
        </w:rPr>
        <w:t> </w:t>
      </w:r>
      <w:r>
        <w:rPr>
          <w:sz w:val="18"/>
        </w:rPr>
        <w:t>produtos</w:t>
      </w:r>
      <w:r>
        <w:rPr>
          <w:spacing w:val="-3"/>
          <w:sz w:val="18"/>
        </w:rPr>
        <w:t> </w:t>
      </w:r>
      <w:r>
        <w:rPr>
          <w:sz w:val="18"/>
        </w:rPr>
        <w:t>e</w:t>
      </w:r>
      <w:r>
        <w:rPr>
          <w:spacing w:val="-3"/>
          <w:sz w:val="18"/>
        </w:rPr>
        <w:t> </w:t>
      </w:r>
      <w:r>
        <w:rPr>
          <w:sz w:val="18"/>
        </w:rPr>
        <w:t>serviços</w:t>
      </w:r>
      <w:r>
        <w:rPr>
          <w:spacing w:val="-3"/>
          <w:sz w:val="18"/>
        </w:rPr>
        <w:t> </w:t>
      </w:r>
      <w:r>
        <w:rPr>
          <w:sz w:val="18"/>
        </w:rPr>
        <w:t>oferecidos. CAPÍTULO V</w:t>
      </w:r>
    </w:p>
    <w:p>
      <w:pPr>
        <w:pStyle w:val="Heading1"/>
        <w:spacing w:line="168" w:lineRule="exact"/>
      </w:pPr>
      <w:r>
        <w:rPr/>
        <w:t>DAS DISPOSIÇÕES </w:t>
      </w:r>
      <w:r>
        <w:rPr>
          <w:spacing w:val="-2"/>
        </w:rPr>
        <w:t>FINAIS</w:t>
      </w:r>
    </w:p>
    <w:p>
      <w:pPr>
        <w:pStyle w:val="BodyText"/>
        <w:spacing w:before="18"/>
      </w:pPr>
    </w:p>
    <w:p>
      <w:pPr>
        <w:pStyle w:val="BodyText"/>
        <w:ind w:left="92"/>
      </w:pPr>
      <w:r>
        <w:rPr/>
        <w:t>Art. 10° Deverão ser desenvolvidas e implementadas estratégias </w:t>
      </w:r>
      <w:r>
        <w:rPr>
          <w:spacing w:val="-5"/>
        </w:rPr>
        <w:t>de:</w:t>
      </w:r>
    </w:p>
    <w:p>
      <w:pPr>
        <w:pStyle w:val="BodyText"/>
        <w:spacing w:before="18"/>
      </w:pPr>
    </w:p>
    <w:p>
      <w:pPr>
        <w:pStyle w:val="ListParagraph"/>
        <w:numPr>
          <w:ilvl w:val="0"/>
          <w:numId w:val="2"/>
        </w:numPr>
        <w:tabs>
          <w:tab w:pos="192" w:val="left" w:leader="none"/>
        </w:tabs>
        <w:spacing w:line="240" w:lineRule="auto" w:before="0" w:after="0"/>
        <w:ind w:left="192" w:right="0" w:hanging="100"/>
        <w:jc w:val="left"/>
        <w:rPr>
          <w:sz w:val="18"/>
        </w:rPr>
      </w:pPr>
      <w:r>
        <w:rPr>
          <w:sz w:val="18"/>
        </w:rPr>
        <w:t>- sensibilização da instituição quanto à importância da Gestão de Portfólio, Programas e </w:t>
      </w:r>
      <w:r>
        <w:rPr>
          <w:spacing w:val="-2"/>
          <w:sz w:val="18"/>
        </w:rPr>
        <w:t>Projetos;</w:t>
      </w:r>
    </w:p>
    <w:p>
      <w:pPr>
        <w:pStyle w:val="BodyText"/>
        <w:spacing w:before="18"/>
      </w:pPr>
    </w:p>
    <w:p>
      <w:pPr>
        <w:pStyle w:val="ListParagraph"/>
        <w:numPr>
          <w:ilvl w:val="0"/>
          <w:numId w:val="2"/>
        </w:numPr>
        <w:tabs>
          <w:tab w:pos="267" w:val="left" w:leader="none"/>
        </w:tabs>
        <w:spacing w:line="249" w:lineRule="auto" w:before="0" w:after="0"/>
        <w:ind w:left="92" w:right="64" w:firstLine="0"/>
        <w:jc w:val="both"/>
        <w:rPr>
          <w:sz w:val="18"/>
        </w:rPr>
      </w:pPr>
      <w:r>
        <w:rPr>
          <w:sz w:val="18"/>
        </w:rPr>
        <w:t>- comunicação das partes envolvidas, visando ampliar a transparência nas ações do processo de Gestão de Portfólio, Programas e Projetos de TI.</w:t>
      </w:r>
    </w:p>
    <w:p>
      <w:pPr>
        <w:pStyle w:val="BodyText"/>
        <w:spacing w:before="10"/>
      </w:pPr>
    </w:p>
    <w:p>
      <w:pPr>
        <w:pStyle w:val="BodyText"/>
        <w:ind w:left="92"/>
      </w:pPr>
      <w:r>
        <w:rPr/>
        <w:t>Gabinete do Procurador-Geral de Justiça, em Maceió, 10 de fevereiro de </w:t>
      </w:r>
      <w:r>
        <w:rPr>
          <w:spacing w:val="-2"/>
        </w:rPr>
        <w:t>2025.</w:t>
      </w:r>
    </w:p>
    <w:p>
      <w:pPr>
        <w:pStyle w:val="BodyText"/>
      </w:pPr>
    </w:p>
    <w:p>
      <w:pPr>
        <w:pStyle w:val="BodyText"/>
        <w:spacing w:before="27"/>
      </w:pPr>
    </w:p>
    <w:p>
      <w:pPr>
        <w:pStyle w:val="Heading1"/>
      </w:pPr>
      <w:r>
        <w:rPr/>
        <w:t>LEAN ANTÔNIO FERREIRA DE </w:t>
      </w:r>
      <w:r>
        <w:rPr>
          <w:spacing w:val="-2"/>
        </w:rPr>
        <w:t>ARAÚJO</w:t>
      </w:r>
    </w:p>
    <w:p>
      <w:pPr>
        <w:pStyle w:val="BodyText"/>
        <w:spacing w:before="10"/>
        <w:ind w:left="92"/>
      </w:pPr>
      <w:r>
        <w:rPr/>
        <w:t>Procurador-Geral de </w:t>
      </w:r>
      <w:r>
        <w:rPr>
          <w:spacing w:val="-2"/>
        </w:rPr>
        <w:t>Justiça</w:t>
      </w:r>
    </w:p>
    <w:p>
      <w:pPr>
        <w:pStyle w:val="BodyText"/>
      </w:pPr>
    </w:p>
    <w:p>
      <w:pPr>
        <w:pStyle w:val="BodyText"/>
      </w:pPr>
    </w:p>
    <w:p>
      <w:pPr>
        <w:pStyle w:val="BodyText"/>
      </w:pPr>
    </w:p>
    <w:p>
      <w:pPr>
        <w:pStyle w:val="BodyText"/>
        <w:spacing w:before="44"/>
      </w:pPr>
    </w:p>
    <w:p>
      <w:pPr>
        <w:pStyle w:val="BodyText"/>
        <w:spacing w:before="1"/>
        <w:ind w:left="92"/>
      </w:pPr>
      <w:r>
        <w:rPr/>
        <w:t>ATO PGJ Nº </w:t>
      </w:r>
      <w:r>
        <w:rPr>
          <w:spacing w:val="-2"/>
        </w:rPr>
        <w:t>08/2025</w:t>
      </w:r>
    </w:p>
    <w:p>
      <w:pPr>
        <w:pStyle w:val="BodyText"/>
        <w:spacing w:before="17"/>
      </w:pPr>
    </w:p>
    <w:p>
      <w:pPr>
        <w:pStyle w:val="BodyText"/>
        <w:spacing w:before="1"/>
        <w:ind w:left="92"/>
      </w:pPr>
      <w:r>
        <w:rPr/>
        <w:t>Institui a Política de Gestão de Continuidade dos Serviços de TI no âmbito do Ministério Público do Estado de </w:t>
      </w:r>
      <w:r>
        <w:rPr>
          <w:spacing w:val="-2"/>
        </w:rPr>
        <w:t>Alagoas.</w:t>
      </w:r>
    </w:p>
    <w:p>
      <w:pPr>
        <w:pStyle w:val="BodyText"/>
        <w:spacing w:before="17"/>
      </w:pPr>
    </w:p>
    <w:p>
      <w:pPr>
        <w:pStyle w:val="BodyText"/>
        <w:spacing w:before="1"/>
        <w:ind w:left="92"/>
      </w:pPr>
      <w:r>
        <w:rPr/>
        <w:t>Art. 1º Instituir a Política de Gestão de Continuidade dos Serviços de Tecnologia da Informação – PGCTI no âmbito do </w:t>
      </w:r>
      <w:r>
        <w:rPr>
          <w:spacing w:val="-2"/>
        </w:rPr>
        <w:t>MPE/AL.</w:t>
      </w:r>
    </w:p>
    <w:p>
      <w:pPr>
        <w:pStyle w:val="BodyText"/>
        <w:spacing w:before="18"/>
      </w:pPr>
    </w:p>
    <w:p>
      <w:pPr>
        <w:pStyle w:val="BodyText"/>
        <w:spacing w:line="249" w:lineRule="auto"/>
        <w:ind w:left="92" w:right="88"/>
        <w:jc w:val="both"/>
      </w:pPr>
      <w:r>
        <w:rPr/>
        <w:t>Art. 2º A PGCTI/MPEAL observará os conceitos, objetivos, princípios, diretrizes, papéis e responsabilidades estabelecidos neste ato, bem como as disposições constitucionais, legais e regimentais vigentes.</w:t>
      </w:r>
    </w:p>
    <w:p>
      <w:pPr>
        <w:pStyle w:val="BodyText"/>
        <w:spacing w:before="10"/>
      </w:pPr>
    </w:p>
    <w:p>
      <w:pPr>
        <w:pStyle w:val="Heading1"/>
      </w:pPr>
      <w:r>
        <w:rPr/>
        <w:t>CAPÍTULO </w:t>
      </w:r>
      <w:r>
        <w:rPr>
          <w:spacing w:val="-10"/>
        </w:rPr>
        <w:t>I</w:t>
      </w:r>
    </w:p>
    <w:p>
      <w:pPr>
        <w:spacing w:before="9"/>
        <w:ind w:left="92" w:right="0" w:firstLine="0"/>
        <w:jc w:val="left"/>
        <w:rPr>
          <w:sz w:val="18"/>
        </w:rPr>
      </w:pPr>
      <w:r>
        <w:rPr>
          <w:sz w:val="18"/>
        </w:rPr>
        <w:t>DOS </w:t>
      </w:r>
      <w:r>
        <w:rPr>
          <w:spacing w:val="-2"/>
          <w:sz w:val="18"/>
        </w:rPr>
        <w:t>CONCEITOS</w:t>
      </w:r>
    </w:p>
    <w:p>
      <w:pPr>
        <w:pStyle w:val="BodyText"/>
        <w:spacing w:before="18"/>
      </w:pPr>
    </w:p>
    <w:p>
      <w:pPr>
        <w:pStyle w:val="BodyText"/>
        <w:ind w:left="92"/>
      </w:pPr>
      <w:r>
        <w:rPr/>
        <w:t>Art. 3 º Para os efeitos do presente ato, considera-</w:t>
      </w:r>
      <w:r>
        <w:rPr>
          <w:spacing w:val="-5"/>
        </w:rPr>
        <w:t>se:</w:t>
      </w:r>
    </w:p>
    <w:p>
      <w:pPr>
        <w:pStyle w:val="BodyText"/>
        <w:spacing w:before="18"/>
      </w:pPr>
    </w:p>
    <w:p>
      <w:pPr>
        <w:pStyle w:val="ListParagraph"/>
        <w:numPr>
          <w:ilvl w:val="0"/>
          <w:numId w:val="3"/>
        </w:numPr>
        <w:tabs>
          <w:tab w:pos="198" w:val="left" w:leader="none"/>
        </w:tabs>
        <w:spacing w:line="249" w:lineRule="auto" w:before="0" w:after="0"/>
        <w:ind w:left="92" w:right="86" w:firstLine="0"/>
        <w:jc w:val="both"/>
        <w:rPr>
          <w:sz w:val="18"/>
        </w:rPr>
      </w:pPr>
      <w:r>
        <w:rPr>
          <w:sz w:val="18"/>
        </w:rPr>
        <w:t>– Acordo de Nível de Serviço (ANS): contrato, termo ou acordo entre o provedor de serviços de TI e seus clientes. Descreve condições e garantias na prestação dos serviços de TI, documenta metas de qualidade e especifica as responsabilidades do provedor de serviços de TI e seus clientes;</w:t>
      </w:r>
    </w:p>
    <w:p>
      <w:pPr>
        <w:pStyle w:val="BodyText"/>
        <w:spacing w:before="11"/>
      </w:pPr>
    </w:p>
    <w:p>
      <w:pPr>
        <w:pStyle w:val="ListParagraph"/>
        <w:numPr>
          <w:ilvl w:val="0"/>
          <w:numId w:val="3"/>
        </w:numPr>
        <w:tabs>
          <w:tab w:pos="242" w:val="left" w:leader="none"/>
        </w:tabs>
        <w:spacing w:line="240" w:lineRule="auto" w:before="1" w:after="0"/>
        <w:ind w:left="242" w:right="0" w:hanging="150"/>
        <w:jc w:val="left"/>
        <w:rPr>
          <w:sz w:val="18"/>
        </w:rPr>
      </w:pPr>
      <w:r>
        <w:rPr>
          <w:sz w:val="18"/>
        </w:rPr>
        <w:t>– Ativo de TI: qualquer componente ou recurso que precise ser gerenciado de forma a garantir a entrega de um serviço de </w:t>
      </w:r>
      <w:r>
        <w:rPr>
          <w:spacing w:val="-5"/>
          <w:sz w:val="18"/>
        </w:rPr>
        <w:t>TI;</w:t>
      </w:r>
    </w:p>
    <w:p>
      <w:pPr>
        <w:pStyle w:val="BodyText"/>
        <w:spacing w:before="17"/>
      </w:pPr>
    </w:p>
    <w:p>
      <w:pPr>
        <w:pStyle w:val="ListParagraph"/>
        <w:numPr>
          <w:ilvl w:val="0"/>
          <w:numId w:val="3"/>
        </w:numPr>
        <w:tabs>
          <w:tab w:pos="312" w:val="left" w:leader="none"/>
        </w:tabs>
        <w:spacing w:line="249" w:lineRule="auto" w:before="1" w:after="0"/>
        <w:ind w:left="92" w:right="86" w:firstLine="0"/>
        <w:jc w:val="both"/>
        <w:rPr>
          <w:sz w:val="18"/>
        </w:rPr>
      </w:pPr>
      <w:r>
        <w:rPr>
          <w:sz w:val="18"/>
        </w:rPr>
        <w:t>– Catálogo de Serviços de TI: banco de dados ou documento estruturado contendo informações sobre os serviços de TI </w:t>
      </w:r>
      <w:r>
        <w:rPr>
          <w:spacing w:val="-2"/>
          <w:sz w:val="18"/>
        </w:rPr>
        <w:t>ofertados;</w:t>
      </w:r>
    </w:p>
    <w:p>
      <w:pPr>
        <w:pStyle w:val="BodyText"/>
        <w:spacing w:before="10"/>
      </w:pPr>
    </w:p>
    <w:p>
      <w:pPr>
        <w:pStyle w:val="ListParagraph"/>
        <w:numPr>
          <w:ilvl w:val="0"/>
          <w:numId w:val="3"/>
        </w:numPr>
        <w:tabs>
          <w:tab w:pos="312" w:val="left" w:leader="none"/>
        </w:tabs>
        <w:spacing w:line="240" w:lineRule="auto" w:before="0" w:after="0"/>
        <w:ind w:left="312" w:right="0" w:hanging="220"/>
        <w:jc w:val="left"/>
        <w:rPr>
          <w:sz w:val="18"/>
        </w:rPr>
      </w:pPr>
      <w:r>
        <w:rPr>
          <w:sz w:val="18"/>
        </w:rPr>
        <w:t>– Incidente: interrupção ou redução da qualidade, não planejadas, de serviços de </w:t>
      </w:r>
      <w:r>
        <w:rPr>
          <w:spacing w:val="-5"/>
          <w:sz w:val="18"/>
        </w:rPr>
        <w:t>TI;</w:t>
      </w:r>
    </w:p>
    <w:p>
      <w:pPr>
        <w:pStyle w:val="BodyText"/>
        <w:spacing w:before="18"/>
      </w:pPr>
    </w:p>
    <w:p>
      <w:pPr>
        <w:pStyle w:val="ListParagraph"/>
        <w:numPr>
          <w:ilvl w:val="0"/>
          <w:numId w:val="3"/>
        </w:numPr>
        <w:tabs>
          <w:tab w:pos="283" w:val="left" w:leader="none"/>
        </w:tabs>
        <w:spacing w:line="249" w:lineRule="auto" w:before="0" w:after="0"/>
        <w:ind w:left="92" w:right="84" w:firstLine="0"/>
        <w:jc w:val="both"/>
        <w:rPr>
          <w:sz w:val="18"/>
        </w:rPr>
      </w:pPr>
      <w:r>
        <w:rPr>
          <w:sz w:val="18"/>
        </w:rPr>
        <w:t>– Desastre: acontecimento de grandes proporções que causa interrupção e inviabiliza o funcionamento adequado dos</w:t>
      </w:r>
      <w:r>
        <w:rPr>
          <w:spacing w:val="40"/>
          <w:sz w:val="18"/>
        </w:rPr>
        <w:t> </w:t>
      </w:r>
      <w:r>
        <w:rPr>
          <w:sz w:val="18"/>
        </w:rPr>
        <w:t>serviços de TI por tempo indeterminado;</w:t>
      </w:r>
    </w:p>
    <w:p>
      <w:pPr>
        <w:pStyle w:val="BodyText"/>
        <w:spacing w:before="10"/>
      </w:pPr>
    </w:p>
    <w:p>
      <w:pPr>
        <w:pStyle w:val="ListParagraph"/>
        <w:numPr>
          <w:ilvl w:val="0"/>
          <w:numId w:val="3"/>
        </w:numPr>
        <w:tabs>
          <w:tab w:pos="312" w:val="left" w:leader="none"/>
        </w:tabs>
        <w:spacing w:line="240" w:lineRule="auto" w:before="1" w:after="0"/>
        <w:ind w:left="312" w:right="0" w:hanging="220"/>
        <w:jc w:val="left"/>
        <w:rPr>
          <w:sz w:val="18"/>
        </w:rPr>
      </w:pPr>
      <w:r>
        <w:rPr>
          <w:sz w:val="18"/>
        </w:rPr>
        <w:t>– Serviço de TI: uma ou mais soluções de TI que, em conjunto, habilitam um processo de </w:t>
      </w:r>
      <w:r>
        <w:rPr>
          <w:spacing w:val="-2"/>
          <w:sz w:val="18"/>
        </w:rPr>
        <w:t>negócio.</w:t>
      </w:r>
    </w:p>
    <w:p>
      <w:pPr>
        <w:pStyle w:val="ListParagraph"/>
        <w:spacing w:after="0" w:line="240" w:lineRule="auto"/>
        <w:jc w:val="left"/>
        <w:rPr>
          <w:sz w:val="18"/>
        </w:rPr>
        <w:sectPr>
          <w:headerReference w:type="default" r:id="rId5"/>
          <w:footerReference w:type="default" r:id="rId6"/>
          <w:type w:val="continuous"/>
          <w:pgSz w:w="11900" w:h="16840"/>
          <w:pgMar w:header="799" w:footer="725" w:top="2540" w:bottom="920" w:left="708" w:right="708"/>
          <w:pgNumType w:start="14"/>
        </w:sectPr>
      </w:pPr>
    </w:p>
    <w:p>
      <w:pPr>
        <w:pStyle w:val="BodyText"/>
      </w:pPr>
    </w:p>
    <w:p>
      <w:pPr>
        <w:pStyle w:val="BodyText"/>
        <w:spacing w:before="103"/>
      </w:pPr>
    </w:p>
    <w:p>
      <w:pPr>
        <w:pStyle w:val="ListParagraph"/>
        <w:numPr>
          <w:ilvl w:val="0"/>
          <w:numId w:val="3"/>
        </w:numPr>
        <w:tabs>
          <w:tab w:pos="383" w:val="left" w:leader="none"/>
        </w:tabs>
        <w:spacing w:line="249" w:lineRule="auto" w:before="0" w:after="0"/>
        <w:ind w:left="92" w:right="85" w:firstLine="0"/>
        <w:jc w:val="both"/>
        <w:rPr>
          <w:sz w:val="18"/>
        </w:rPr>
      </w:pPr>
      <w:r>
        <w:rPr>
          <w:sz w:val="18"/>
        </w:rPr>
        <w:t>- Matriz RACI: ferramenta de gestão que ajuda a definir e esclarecer as responsabilidades de uma equipe ou grupo de trabalho em relação a tarefas específicas de um projeto ou processo. RACI é um acrônimo para:</w:t>
      </w:r>
    </w:p>
    <w:p>
      <w:pPr>
        <w:pStyle w:val="BodyText"/>
        <w:spacing w:before="11"/>
      </w:pPr>
    </w:p>
    <w:p>
      <w:pPr>
        <w:pStyle w:val="ListParagraph"/>
        <w:numPr>
          <w:ilvl w:val="1"/>
          <w:numId w:val="3"/>
        </w:numPr>
        <w:tabs>
          <w:tab w:pos="305" w:val="left" w:leader="none"/>
        </w:tabs>
        <w:spacing w:line="249" w:lineRule="auto" w:before="0" w:after="0"/>
        <w:ind w:left="92" w:right="89" w:firstLine="0"/>
        <w:jc w:val="left"/>
        <w:rPr>
          <w:sz w:val="18"/>
        </w:rPr>
      </w:pPr>
      <w:r>
        <w:rPr>
          <w:sz w:val="18"/>
        </w:rPr>
        <w:t>Responsável: A pessoa ou pessoas que executam a tarefa. Essa é a pessoa que faz o trabalho necessário para completar a </w:t>
      </w:r>
      <w:r>
        <w:rPr>
          <w:spacing w:val="-2"/>
          <w:sz w:val="18"/>
        </w:rPr>
        <w:t>tarefa.</w:t>
      </w:r>
    </w:p>
    <w:p>
      <w:pPr>
        <w:pStyle w:val="BodyText"/>
        <w:spacing w:before="10"/>
      </w:pPr>
    </w:p>
    <w:p>
      <w:pPr>
        <w:pStyle w:val="ListParagraph"/>
        <w:numPr>
          <w:ilvl w:val="1"/>
          <w:numId w:val="3"/>
        </w:numPr>
        <w:tabs>
          <w:tab w:pos="304" w:val="left" w:leader="none"/>
        </w:tabs>
        <w:spacing w:line="249" w:lineRule="auto" w:before="0" w:after="0"/>
        <w:ind w:left="92" w:right="88" w:firstLine="0"/>
        <w:jc w:val="left"/>
        <w:rPr>
          <w:sz w:val="18"/>
        </w:rPr>
      </w:pPr>
      <w:r>
        <w:rPr>
          <w:sz w:val="18"/>
        </w:rPr>
        <w:t>Aprovador: A pessoa que tem a autoridade para aprovar ou rejeitar o trabalho realizado. Geralmente, essa é uma pessoa em uma posição de liderança que toma decisões finais.</w:t>
      </w:r>
    </w:p>
    <w:p>
      <w:pPr>
        <w:pStyle w:val="BodyText"/>
        <w:spacing w:before="11"/>
      </w:pPr>
    </w:p>
    <w:p>
      <w:pPr>
        <w:pStyle w:val="ListParagraph"/>
        <w:numPr>
          <w:ilvl w:val="1"/>
          <w:numId w:val="3"/>
        </w:numPr>
        <w:tabs>
          <w:tab w:pos="304" w:val="left" w:leader="none"/>
        </w:tabs>
        <w:spacing w:line="249" w:lineRule="auto" w:before="0" w:after="0"/>
        <w:ind w:left="92" w:right="88" w:firstLine="0"/>
        <w:jc w:val="left"/>
        <w:rPr>
          <w:sz w:val="18"/>
        </w:rPr>
      </w:pPr>
      <w:r>
        <w:rPr>
          <w:sz w:val="18"/>
        </w:rPr>
        <w:t>Consultado:</w:t>
      </w:r>
      <w:r>
        <w:rPr>
          <w:spacing w:val="22"/>
          <w:sz w:val="18"/>
        </w:rPr>
        <w:t> </w:t>
      </w:r>
      <w:r>
        <w:rPr>
          <w:sz w:val="18"/>
        </w:rPr>
        <w:t>Aquelas</w:t>
      </w:r>
      <w:r>
        <w:rPr>
          <w:spacing w:val="22"/>
          <w:sz w:val="18"/>
        </w:rPr>
        <w:t> </w:t>
      </w:r>
      <w:r>
        <w:rPr>
          <w:sz w:val="18"/>
        </w:rPr>
        <w:t>pessoas</w:t>
      </w:r>
      <w:r>
        <w:rPr>
          <w:spacing w:val="22"/>
          <w:sz w:val="18"/>
        </w:rPr>
        <w:t> </w:t>
      </w:r>
      <w:r>
        <w:rPr>
          <w:sz w:val="18"/>
        </w:rPr>
        <w:t>cujas</w:t>
      </w:r>
      <w:r>
        <w:rPr>
          <w:spacing w:val="22"/>
          <w:sz w:val="18"/>
        </w:rPr>
        <w:t> </w:t>
      </w:r>
      <w:r>
        <w:rPr>
          <w:sz w:val="18"/>
        </w:rPr>
        <w:t>opiniões</w:t>
      </w:r>
      <w:r>
        <w:rPr>
          <w:spacing w:val="22"/>
          <w:sz w:val="18"/>
        </w:rPr>
        <w:t> </w:t>
      </w:r>
      <w:r>
        <w:rPr>
          <w:sz w:val="18"/>
        </w:rPr>
        <w:t>são</w:t>
      </w:r>
      <w:r>
        <w:rPr>
          <w:spacing w:val="22"/>
          <w:sz w:val="18"/>
        </w:rPr>
        <w:t> </w:t>
      </w:r>
      <w:r>
        <w:rPr>
          <w:sz w:val="18"/>
        </w:rPr>
        <w:t>solicitadas</w:t>
      </w:r>
      <w:r>
        <w:rPr>
          <w:spacing w:val="22"/>
          <w:sz w:val="18"/>
        </w:rPr>
        <w:t> </w:t>
      </w:r>
      <w:r>
        <w:rPr>
          <w:sz w:val="18"/>
        </w:rPr>
        <w:t>antes</w:t>
      </w:r>
      <w:r>
        <w:rPr>
          <w:spacing w:val="22"/>
          <w:sz w:val="18"/>
        </w:rPr>
        <w:t> </w:t>
      </w:r>
      <w:r>
        <w:rPr>
          <w:sz w:val="18"/>
        </w:rPr>
        <w:t>que</w:t>
      </w:r>
      <w:r>
        <w:rPr>
          <w:spacing w:val="22"/>
          <w:sz w:val="18"/>
        </w:rPr>
        <w:t> </w:t>
      </w:r>
      <w:r>
        <w:rPr>
          <w:sz w:val="18"/>
        </w:rPr>
        <w:t>a</w:t>
      </w:r>
      <w:r>
        <w:rPr>
          <w:spacing w:val="22"/>
          <w:sz w:val="18"/>
        </w:rPr>
        <w:t> </w:t>
      </w:r>
      <w:r>
        <w:rPr>
          <w:sz w:val="18"/>
        </w:rPr>
        <w:t>tarefa</w:t>
      </w:r>
      <w:r>
        <w:rPr>
          <w:spacing w:val="22"/>
          <w:sz w:val="18"/>
        </w:rPr>
        <w:t> </w:t>
      </w:r>
      <w:r>
        <w:rPr>
          <w:sz w:val="18"/>
        </w:rPr>
        <w:t>seja</w:t>
      </w:r>
      <w:r>
        <w:rPr>
          <w:spacing w:val="22"/>
          <w:sz w:val="18"/>
        </w:rPr>
        <w:t> </w:t>
      </w:r>
      <w:r>
        <w:rPr>
          <w:sz w:val="18"/>
        </w:rPr>
        <w:t>concluída.</w:t>
      </w:r>
      <w:r>
        <w:rPr>
          <w:spacing w:val="22"/>
          <w:sz w:val="18"/>
        </w:rPr>
        <w:t> </w:t>
      </w:r>
      <w:r>
        <w:rPr>
          <w:sz w:val="18"/>
        </w:rPr>
        <w:t>Elas</w:t>
      </w:r>
      <w:r>
        <w:rPr>
          <w:spacing w:val="22"/>
          <w:sz w:val="18"/>
        </w:rPr>
        <w:t> </w:t>
      </w:r>
      <w:r>
        <w:rPr>
          <w:sz w:val="18"/>
        </w:rPr>
        <w:t>fornecem</w:t>
      </w:r>
      <w:r>
        <w:rPr>
          <w:spacing w:val="22"/>
          <w:sz w:val="18"/>
        </w:rPr>
        <w:t> </w:t>
      </w:r>
      <w:r>
        <w:rPr>
          <w:sz w:val="18"/>
        </w:rPr>
        <w:t>feedback</w:t>
      </w:r>
      <w:r>
        <w:rPr>
          <w:spacing w:val="22"/>
          <w:sz w:val="18"/>
        </w:rPr>
        <w:t> </w:t>
      </w:r>
      <w:r>
        <w:rPr>
          <w:sz w:val="18"/>
        </w:rPr>
        <w:t>e orientações, mas não executam o trabalho diretamente.</w:t>
      </w:r>
    </w:p>
    <w:p>
      <w:pPr>
        <w:pStyle w:val="BodyText"/>
        <w:spacing w:before="10"/>
      </w:pPr>
    </w:p>
    <w:p>
      <w:pPr>
        <w:pStyle w:val="ListParagraph"/>
        <w:numPr>
          <w:ilvl w:val="1"/>
          <w:numId w:val="3"/>
        </w:numPr>
        <w:tabs>
          <w:tab w:pos="313" w:val="left" w:leader="none"/>
        </w:tabs>
        <w:spacing w:line="249" w:lineRule="auto" w:before="0" w:after="0"/>
        <w:ind w:left="92" w:right="87" w:firstLine="0"/>
        <w:jc w:val="left"/>
        <w:rPr>
          <w:sz w:val="18"/>
        </w:rPr>
      </w:pPr>
      <w:r>
        <w:rPr>
          <w:sz w:val="18"/>
        </w:rPr>
        <w:t>Informado:</w:t>
      </w:r>
      <w:r>
        <w:rPr>
          <w:spacing w:val="16"/>
          <w:sz w:val="18"/>
        </w:rPr>
        <w:t> </w:t>
      </w:r>
      <w:r>
        <w:rPr>
          <w:sz w:val="18"/>
        </w:rPr>
        <w:t>Aquelas</w:t>
      </w:r>
      <w:r>
        <w:rPr>
          <w:spacing w:val="16"/>
          <w:sz w:val="18"/>
        </w:rPr>
        <w:t> </w:t>
      </w:r>
      <w:r>
        <w:rPr>
          <w:sz w:val="18"/>
        </w:rPr>
        <w:t>pessoas</w:t>
      </w:r>
      <w:r>
        <w:rPr>
          <w:spacing w:val="16"/>
          <w:sz w:val="18"/>
        </w:rPr>
        <w:t> </w:t>
      </w:r>
      <w:r>
        <w:rPr>
          <w:sz w:val="18"/>
        </w:rPr>
        <w:t>que</w:t>
      </w:r>
      <w:r>
        <w:rPr>
          <w:spacing w:val="16"/>
          <w:sz w:val="18"/>
        </w:rPr>
        <w:t> </w:t>
      </w:r>
      <w:r>
        <w:rPr>
          <w:sz w:val="18"/>
        </w:rPr>
        <w:t>precisam</w:t>
      </w:r>
      <w:r>
        <w:rPr>
          <w:spacing w:val="16"/>
          <w:sz w:val="18"/>
        </w:rPr>
        <w:t> </w:t>
      </w:r>
      <w:r>
        <w:rPr>
          <w:sz w:val="18"/>
        </w:rPr>
        <w:t>ser</w:t>
      </w:r>
      <w:r>
        <w:rPr>
          <w:spacing w:val="16"/>
          <w:sz w:val="18"/>
        </w:rPr>
        <w:t> </w:t>
      </w:r>
      <w:r>
        <w:rPr>
          <w:sz w:val="18"/>
        </w:rPr>
        <w:t>mantidas</w:t>
      </w:r>
      <w:r>
        <w:rPr>
          <w:spacing w:val="16"/>
          <w:sz w:val="18"/>
        </w:rPr>
        <w:t> </w:t>
      </w:r>
      <w:r>
        <w:rPr>
          <w:sz w:val="18"/>
        </w:rPr>
        <w:t>informadas</w:t>
      </w:r>
      <w:r>
        <w:rPr>
          <w:spacing w:val="16"/>
          <w:sz w:val="18"/>
        </w:rPr>
        <w:t> </w:t>
      </w:r>
      <w:r>
        <w:rPr>
          <w:sz w:val="18"/>
        </w:rPr>
        <w:t>sobre</w:t>
      </w:r>
      <w:r>
        <w:rPr>
          <w:spacing w:val="16"/>
          <w:sz w:val="18"/>
        </w:rPr>
        <w:t> </w:t>
      </w:r>
      <w:r>
        <w:rPr>
          <w:sz w:val="18"/>
        </w:rPr>
        <w:t>o</w:t>
      </w:r>
      <w:r>
        <w:rPr>
          <w:spacing w:val="16"/>
          <w:sz w:val="18"/>
        </w:rPr>
        <w:t> </w:t>
      </w:r>
      <w:r>
        <w:rPr>
          <w:sz w:val="18"/>
        </w:rPr>
        <w:t>progresso</w:t>
      </w:r>
      <w:r>
        <w:rPr>
          <w:spacing w:val="16"/>
          <w:sz w:val="18"/>
        </w:rPr>
        <w:t> </w:t>
      </w:r>
      <w:r>
        <w:rPr>
          <w:sz w:val="18"/>
        </w:rPr>
        <w:t>e</w:t>
      </w:r>
      <w:r>
        <w:rPr>
          <w:spacing w:val="16"/>
          <w:sz w:val="18"/>
        </w:rPr>
        <w:t> </w:t>
      </w:r>
      <w:r>
        <w:rPr>
          <w:sz w:val="18"/>
        </w:rPr>
        <w:t>os</w:t>
      </w:r>
      <w:r>
        <w:rPr>
          <w:spacing w:val="16"/>
          <w:sz w:val="18"/>
        </w:rPr>
        <w:t> </w:t>
      </w:r>
      <w:r>
        <w:rPr>
          <w:sz w:val="18"/>
        </w:rPr>
        <w:t>resultados</w:t>
      </w:r>
      <w:r>
        <w:rPr>
          <w:spacing w:val="16"/>
          <w:sz w:val="18"/>
        </w:rPr>
        <w:t> </w:t>
      </w:r>
      <w:r>
        <w:rPr>
          <w:sz w:val="18"/>
        </w:rPr>
        <w:t>da</w:t>
      </w:r>
      <w:r>
        <w:rPr>
          <w:spacing w:val="16"/>
          <w:sz w:val="18"/>
        </w:rPr>
        <w:t> </w:t>
      </w:r>
      <w:r>
        <w:rPr>
          <w:sz w:val="18"/>
        </w:rPr>
        <w:t>tarefa,</w:t>
      </w:r>
      <w:r>
        <w:rPr>
          <w:spacing w:val="16"/>
          <w:sz w:val="18"/>
        </w:rPr>
        <w:t> </w:t>
      </w:r>
      <w:r>
        <w:rPr>
          <w:sz w:val="18"/>
        </w:rPr>
        <w:t>mas</w:t>
      </w:r>
      <w:r>
        <w:rPr>
          <w:spacing w:val="16"/>
          <w:sz w:val="18"/>
        </w:rPr>
        <w:t> </w:t>
      </w:r>
      <w:r>
        <w:rPr>
          <w:sz w:val="18"/>
        </w:rPr>
        <w:t>que não estão diretamente envolvidas na execução ou decisão.</w:t>
      </w:r>
    </w:p>
    <w:p>
      <w:pPr>
        <w:pStyle w:val="BodyText"/>
        <w:spacing w:before="11"/>
      </w:pPr>
    </w:p>
    <w:p>
      <w:pPr>
        <w:pStyle w:val="Heading1"/>
      </w:pPr>
      <w:r>
        <w:rPr/>
        <w:t>CAPÍTULO </w:t>
      </w:r>
      <w:r>
        <w:rPr>
          <w:spacing w:val="-5"/>
        </w:rPr>
        <w:t>II</w:t>
      </w:r>
    </w:p>
    <w:p>
      <w:pPr>
        <w:spacing w:before="9"/>
        <w:ind w:left="92" w:right="0" w:firstLine="0"/>
        <w:jc w:val="left"/>
        <w:rPr>
          <w:sz w:val="18"/>
        </w:rPr>
      </w:pPr>
      <w:r>
        <w:rPr>
          <w:sz w:val="18"/>
        </w:rPr>
        <w:t>DOS OBJETIVOS E </w:t>
      </w:r>
      <w:r>
        <w:rPr>
          <w:spacing w:val="-2"/>
          <w:sz w:val="18"/>
        </w:rPr>
        <w:t>DIRETRIZES</w:t>
      </w:r>
    </w:p>
    <w:p>
      <w:pPr>
        <w:pStyle w:val="BodyText"/>
        <w:spacing w:before="18"/>
      </w:pPr>
    </w:p>
    <w:p>
      <w:pPr>
        <w:pStyle w:val="BodyText"/>
        <w:ind w:left="92"/>
      </w:pPr>
      <w:r>
        <w:rPr/>
        <w:t>Art. 4 A PGCTI tem por objetivo estabelecer diretrizes para a elaboração e a manutenção do Plano de Continuidade de </w:t>
      </w:r>
      <w:r>
        <w:rPr>
          <w:spacing w:val="-5"/>
        </w:rPr>
        <w:t>TI.</w:t>
      </w:r>
    </w:p>
    <w:p>
      <w:pPr>
        <w:pStyle w:val="BodyText"/>
        <w:spacing w:before="18"/>
      </w:pPr>
    </w:p>
    <w:p>
      <w:pPr>
        <w:pStyle w:val="BodyText"/>
        <w:spacing w:line="249" w:lineRule="auto"/>
        <w:ind w:left="92" w:right="87"/>
        <w:jc w:val="both"/>
      </w:pPr>
      <w:r>
        <w:rPr/>
        <w:t>§1° O Plano de Continuidade de TI tem por objetivo restaurar, dentro do menor tempo possível, os serviços de TI essenciais</w:t>
      </w:r>
      <w:r>
        <w:rPr>
          <w:spacing w:val="40"/>
        </w:rPr>
        <w:t> </w:t>
      </w:r>
      <w:r>
        <w:rPr/>
        <w:t>para que a instituição continue funcionando e, assim, diminuir os impactos de um desastre.</w:t>
      </w:r>
    </w:p>
    <w:p>
      <w:pPr>
        <w:pStyle w:val="BodyText"/>
        <w:spacing w:before="10"/>
      </w:pPr>
    </w:p>
    <w:p>
      <w:pPr>
        <w:pStyle w:val="BodyText"/>
        <w:ind w:left="92"/>
      </w:pPr>
      <w:r>
        <w:rPr/>
        <w:t>§2° O Plano de Continuidade de TI </w:t>
      </w:r>
      <w:r>
        <w:rPr>
          <w:spacing w:val="-2"/>
        </w:rPr>
        <w:t>deve:</w:t>
      </w:r>
    </w:p>
    <w:p>
      <w:pPr>
        <w:pStyle w:val="BodyText"/>
        <w:spacing w:before="18"/>
      </w:pPr>
    </w:p>
    <w:p>
      <w:pPr>
        <w:pStyle w:val="ListParagraph"/>
        <w:numPr>
          <w:ilvl w:val="2"/>
          <w:numId w:val="3"/>
        </w:numPr>
        <w:tabs>
          <w:tab w:pos="197" w:val="left" w:leader="none"/>
        </w:tabs>
        <w:spacing w:line="249" w:lineRule="auto" w:before="0" w:after="0"/>
        <w:ind w:left="92" w:right="87" w:firstLine="0"/>
        <w:jc w:val="both"/>
        <w:rPr>
          <w:sz w:val="18"/>
        </w:rPr>
      </w:pPr>
      <w:r>
        <w:rPr>
          <w:sz w:val="18"/>
        </w:rPr>
        <w:t>– Estar alinhado com a Gestão de Risco e o Plano de Continuidade do Negócio – PCN da instituição, se houver e/ou quando</w:t>
      </w:r>
      <w:r>
        <w:rPr>
          <w:spacing w:val="40"/>
          <w:sz w:val="18"/>
        </w:rPr>
        <w:t> </w:t>
      </w:r>
      <w:r>
        <w:rPr>
          <w:sz w:val="18"/>
        </w:rPr>
        <w:t>se aplicar;</w:t>
      </w:r>
    </w:p>
    <w:p>
      <w:pPr>
        <w:pStyle w:val="BodyText"/>
        <w:spacing w:before="11"/>
      </w:pPr>
    </w:p>
    <w:p>
      <w:pPr>
        <w:pStyle w:val="ListParagraph"/>
        <w:numPr>
          <w:ilvl w:val="2"/>
          <w:numId w:val="3"/>
        </w:numPr>
        <w:tabs>
          <w:tab w:pos="242" w:val="left" w:leader="none"/>
        </w:tabs>
        <w:spacing w:line="240" w:lineRule="auto" w:before="0" w:after="0"/>
        <w:ind w:left="242" w:right="0" w:hanging="150"/>
        <w:jc w:val="left"/>
        <w:rPr>
          <w:sz w:val="18"/>
        </w:rPr>
      </w:pPr>
      <w:r>
        <w:rPr>
          <w:sz w:val="18"/>
        </w:rPr>
        <w:t>– Prover mecanismos para contribuir com o cumprimento da missão do MPE/AL diante de um acontecimento </w:t>
      </w:r>
      <w:r>
        <w:rPr>
          <w:spacing w:val="-2"/>
          <w:sz w:val="18"/>
        </w:rPr>
        <w:t>desastroso;</w:t>
      </w:r>
    </w:p>
    <w:p>
      <w:pPr>
        <w:pStyle w:val="ListParagraph"/>
        <w:numPr>
          <w:ilvl w:val="2"/>
          <w:numId w:val="3"/>
        </w:numPr>
        <w:tabs>
          <w:tab w:pos="292" w:val="left" w:leader="none"/>
        </w:tabs>
        <w:spacing w:line="430" w:lineRule="atLeast" w:before="2" w:after="0"/>
        <w:ind w:left="92" w:right="2354" w:firstLine="0"/>
        <w:jc w:val="left"/>
        <w:rPr>
          <w:sz w:val="18"/>
        </w:rPr>
      </w:pPr>
      <w:r>
        <w:rPr>
          <w:sz w:val="18"/>
        </w:rPr>
        <w:t>–</w:t>
      </w:r>
      <w:r>
        <w:rPr>
          <w:spacing w:val="-4"/>
          <w:sz w:val="18"/>
        </w:rPr>
        <w:t> </w:t>
      </w:r>
      <w:r>
        <w:rPr>
          <w:sz w:val="18"/>
        </w:rPr>
        <w:t>Ter</w:t>
      </w:r>
      <w:r>
        <w:rPr>
          <w:spacing w:val="-4"/>
          <w:sz w:val="18"/>
        </w:rPr>
        <w:t> </w:t>
      </w:r>
      <w:r>
        <w:rPr>
          <w:sz w:val="18"/>
        </w:rPr>
        <w:t>definidos</w:t>
      </w:r>
      <w:r>
        <w:rPr>
          <w:spacing w:val="-4"/>
          <w:sz w:val="18"/>
        </w:rPr>
        <w:t> </w:t>
      </w:r>
      <w:r>
        <w:rPr>
          <w:sz w:val="18"/>
        </w:rPr>
        <w:t>os</w:t>
      </w:r>
      <w:r>
        <w:rPr>
          <w:spacing w:val="-4"/>
          <w:sz w:val="18"/>
        </w:rPr>
        <w:t> </w:t>
      </w:r>
      <w:r>
        <w:rPr>
          <w:sz w:val="18"/>
        </w:rPr>
        <w:t>papeis</w:t>
      </w:r>
      <w:r>
        <w:rPr>
          <w:spacing w:val="-4"/>
          <w:sz w:val="18"/>
        </w:rPr>
        <w:t> </w:t>
      </w:r>
      <w:r>
        <w:rPr>
          <w:sz w:val="18"/>
        </w:rPr>
        <w:t>e</w:t>
      </w:r>
      <w:r>
        <w:rPr>
          <w:spacing w:val="-4"/>
          <w:sz w:val="18"/>
        </w:rPr>
        <w:t> </w:t>
      </w:r>
      <w:r>
        <w:rPr>
          <w:sz w:val="18"/>
        </w:rPr>
        <w:t>responsabilidades</w:t>
      </w:r>
      <w:r>
        <w:rPr>
          <w:spacing w:val="-4"/>
          <w:sz w:val="18"/>
        </w:rPr>
        <w:t> </w:t>
      </w:r>
      <w:r>
        <w:rPr>
          <w:sz w:val="18"/>
        </w:rPr>
        <w:t>para</w:t>
      </w:r>
      <w:r>
        <w:rPr>
          <w:spacing w:val="-4"/>
          <w:sz w:val="18"/>
        </w:rPr>
        <w:t> </w:t>
      </w:r>
      <w:r>
        <w:rPr>
          <w:sz w:val="18"/>
        </w:rPr>
        <w:t>execução</w:t>
      </w:r>
      <w:r>
        <w:rPr>
          <w:spacing w:val="-4"/>
          <w:sz w:val="18"/>
        </w:rPr>
        <w:t> </w:t>
      </w:r>
      <w:r>
        <w:rPr>
          <w:sz w:val="18"/>
        </w:rPr>
        <w:t>dos</w:t>
      </w:r>
      <w:r>
        <w:rPr>
          <w:spacing w:val="-4"/>
          <w:sz w:val="18"/>
        </w:rPr>
        <w:t> </w:t>
      </w:r>
      <w:r>
        <w:rPr>
          <w:sz w:val="18"/>
        </w:rPr>
        <w:t>procedimentos</w:t>
      </w:r>
      <w:r>
        <w:rPr>
          <w:spacing w:val="-4"/>
          <w:sz w:val="18"/>
        </w:rPr>
        <w:t> </w:t>
      </w:r>
      <w:r>
        <w:rPr>
          <w:sz w:val="18"/>
        </w:rPr>
        <w:t>de</w:t>
      </w:r>
      <w:r>
        <w:rPr>
          <w:spacing w:val="-4"/>
          <w:sz w:val="18"/>
        </w:rPr>
        <w:t> </w:t>
      </w:r>
      <w:r>
        <w:rPr>
          <w:sz w:val="18"/>
        </w:rPr>
        <w:t>continuidade. CAPÍTULO III</w:t>
      </w:r>
    </w:p>
    <w:p>
      <w:pPr>
        <w:pStyle w:val="Heading1"/>
        <w:spacing w:before="11"/>
      </w:pPr>
      <w:r>
        <w:rPr/>
        <w:t>DO PLANO DE CONTINUIDADE DE </w:t>
      </w:r>
      <w:r>
        <w:rPr>
          <w:spacing w:val="-5"/>
        </w:rPr>
        <w:t>TI</w:t>
      </w:r>
    </w:p>
    <w:p>
      <w:pPr>
        <w:pStyle w:val="BodyText"/>
        <w:spacing w:before="18"/>
      </w:pPr>
    </w:p>
    <w:p>
      <w:pPr>
        <w:pStyle w:val="BodyText"/>
        <w:spacing w:line="249" w:lineRule="auto"/>
        <w:ind w:left="92" w:right="84"/>
        <w:jc w:val="both"/>
      </w:pPr>
      <w:r>
        <w:rPr/>
        <w:t>Art. 5° O Plano de Continuidade de TI é um conjunto de mecanismos e procedimentos que orientam a unidade de TI a responder, recuperar, retornar e restaurar os serviços de TI que apoiam os processos críticos de trabalho para um nível predefinido de operação, após um desastre.</w:t>
      </w:r>
    </w:p>
    <w:p>
      <w:pPr>
        <w:pStyle w:val="BodyText"/>
        <w:spacing w:before="11"/>
      </w:pPr>
    </w:p>
    <w:p>
      <w:pPr>
        <w:pStyle w:val="BodyText"/>
        <w:ind w:left="92"/>
      </w:pPr>
      <w:r>
        <w:rPr/>
        <w:t>Art. 6° O Plano de Continuidade de TI deve ser elaborado em seis </w:t>
      </w:r>
      <w:r>
        <w:rPr>
          <w:spacing w:val="-2"/>
        </w:rPr>
        <w:t>etapas:</w:t>
      </w:r>
    </w:p>
    <w:p>
      <w:pPr>
        <w:pStyle w:val="BodyText"/>
        <w:spacing w:before="18"/>
      </w:pPr>
    </w:p>
    <w:p>
      <w:pPr>
        <w:pStyle w:val="ListParagraph"/>
        <w:numPr>
          <w:ilvl w:val="0"/>
          <w:numId w:val="4"/>
        </w:numPr>
        <w:tabs>
          <w:tab w:pos="192" w:val="left" w:leader="none"/>
        </w:tabs>
        <w:spacing w:line="240" w:lineRule="auto" w:before="0" w:after="0"/>
        <w:ind w:left="192" w:right="0" w:hanging="100"/>
        <w:jc w:val="left"/>
        <w:rPr>
          <w:sz w:val="18"/>
        </w:rPr>
      </w:pPr>
      <w:r>
        <w:rPr>
          <w:sz w:val="18"/>
        </w:rPr>
        <w:t>– Identificação dos processos críticos de </w:t>
      </w:r>
      <w:r>
        <w:rPr>
          <w:spacing w:val="-2"/>
          <w:sz w:val="18"/>
        </w:rPr>
        <w:t>trabalho;</w:t>
      </w:r>
    </w:p>
    <w:p>
      <w:pPr>
        <w:pStyle w:val="BodyText"/>
        <w:spacing w:before="18"/>
      </w:pPr>
    </w:p>
    <w:p>
      <w:pPr>
        <w:pStyle w:val="ListParagraph"/>
        <w:numPr>
          <w:ilvl w:val="0"/>
          <w:numId w:val="4"/>
        </w:numPr>
        <w:tabs>
          <w:tab w:pos="242" w:val="left" w:leader="none"/>
        </w:tabs>
        <w:spacing w:line="240" w:lineRule="auto" w:before="0" w:after="0"/>
        <w:ind w:left="242" w:right="0" w:hanging="150"/>
        <w:jc w:val="left"/>
        <w:rPr>
          <w:sz w:val="18"/>
        </w:rPr>
      </w:pPr>
      <w:r>
        <w:rPr>
          <w:sz w:val="18"/>
        </w:rPr>
        <w:t>– Identificação dos serviços de TI que dão suporte aos processos críticos de </w:t>
      </w:r>
      <w:r>
        <w:rPr>
          <w:spacing w:val="-2"/>
          <w:sz w:val="18"/>
        </w:rPr>
        <w:t>trabalho;</w:t>
      </w:r>
    </w:p>
    <w:p>
      <w:pPr>
        <w:pStyle w:val="BodyText"/>
        <w:spacing w:before="18"/>
      </w:pPr>
    </w:p>
    <w:p>
      <w:pPr>
        <w:pStyle w:val="ListParagraph"/>
        <w:numPr>
          <w:ilvl w:val="0"/>
          <w:numId w:val="4"/>
        </w:numPr>
        <w:tabs>
          <w:tab w:pos="292" w:val="left" w:leader="none"/>
        </w:tabs>
        <w:spacing w:line="240" w:lineRule="auto" w:before="0" w:after="0"/>
        <w:ind w:left="292" w:right="0" w:hanging="200"/>
        <w:jc w:val="left"/>
        <w:rPr>
          <w:sz w:val="18"/>
        </w:rPr>
      </w:pPr>
      <w:r>
        <w:rPr>
          <w:sz w:val="18"/>
        </w:rPr>
        <w:t>– Avaliação de </w:t>
      </w:r>
      <w:r>
        <w:rPr>
          <w:spacing w:val="-2"/>
          <w:sz w:val="18"/>
        </w:rPr>
        <w:t>riscos;</w:t>
      </w:r>
    </w:p>
    <w:p>
      <w:pPr>
        <w:pStyle w:val="BodyText"/>
        <w:spacing w:before="18"/>
      </w:pPr>
    </w:p>
    <w:p>
      <w:pPr>
        <w:pStyle w:val="ListParagraph"/>
        <w:numPr>
          <w:ilvl w:val="0"/>
          <w:numId w:val="4"/>
        </w:numPr>
        <w:tabs>
          <w:tab w:pos="312" w:val="left" w:leader="none"/>
        </w:tabs>
        <w:spacing w:line="240" w:lineRule="auto" w:before="0" w:after="0"/>
        <w:ind w:left="312" w:right="0" w:hanging="220"/>
        <w:jc w:val="left"/>
        <w:rPr>
          <w:sz w:val="18"/>
        </w:rPr>
      </w:pPr>
      <w:r>
        <w:rPr>
          <w:sz w:val="18"/>
        </w:rPr>
        <w:t>– Definição e implementação da solução de </w:t>
      </w:r>
      <w:r>
        <w:rPr>
          <w:spacing w:val="-2"/>
          <w:sz w:val="18"/>
        </w:rPr>
        <w:t>contingência;</w:t>
      </w:r>
    </w:p>
    <w:p>
      <w:pPr>
        <w:pStyle w:val="BodyText"/>
        <w:spacing w:before="18"/>
      </w:pPr>
    </w:p>
    <w:p>
      <w:pPr>
        <w:pStyle w:val="ListParagraph"/>
        <w:numPr>
          <w:ilvl w:val="0"/>
          <w:numId w:val="4"/>
        </w:numPr>
        <w:tabs>
          <w:tab w:pos="262" w:val="left" w:leader="none"/>
        </w:tabs>
        <w:spacing w:line="240" w:lineRule="auto" w:before="0" w:after="0"/>
        <w:ind w:left="262" w:right="0" w:hanging="170"/>
        <w:jc w:val="left"/>
        <w:rPr>
          <w:sz w:val="18"/>
        </w:rPr>
      </w:pPr>
      <w:r>
        <w:rPr>
          <w:sz w:val="18"/>
        </w:rPr>
        <w:t>– Elaboração do Plano de Recuperação de </w:t>
      </w:r>
      <w:r>
        <w:rPr>
          <w:spacing w:val="-2"/>
          <w:sz w:val="18"/>
        </w:rPr>
        <w:t>Desastre;</w:t>
      </w:r>
    </w:p>
    <w:p>
      <w:pPr>
        <w:pStyle w:val="ListParagraph"/>
        <w:numPr>
          <w:ilvl w:val="0"/>
          <w:numId w:val="4"/>
        </w:numPr>
        <w:tabs>
          <w:tab w:pos="312" w:val="left" w:leader="none"/>
        </w:tabs>
        <w:spacing w:line="430" w:lineRule="atLeast" w:before="2" w:after="0"/>
        <w:ind w:left="92" w:right="7188" w:firstLine="0"/>
        <w:jc w:val="left"/>
        <w:rPr>
          <w:sz w:val="18"/>
        </w:rPr>
      </w:pPr>
      <w:r>
        <w:rPr>
          <w:sz w:val="18"/>
        </w:rPr>
        <w:t>–</w:t>
      </w:r>
      <w:r>
        <w:rPr>
          <w:spacing w:val="-10"/>
          <w:sz w:val="18"/>
        </w:rPr>
        <w:t> </w:t>
      </w:r>
      <w:r>
        <w:rPr>
          <w:sz w:val="18"/>
        </w:rPr>
        <w:t>Testes,</w:t>
      </w:r>
      <w:r>
        <w:rPr>
          <w:spacing w:val="-10"/>
          <w:sz w:val="18"/>
        </w:rPr>
        <w:t> </w:t>
      </w:r>
      <w:r>
        <w:rPr>
          <w:sz w:val="18"/>
        </w:rPr>
        <w:t>treinamento</w:t>
      </w:r>
      <w:r>
        <w:rPr>
          <w:spacing w:val="-10"/>
          <w:sz w:val="18"/>
        </w:rPr>
        <w:t> </w:t>
      </w:r>
      <w:r>
        <w:rPr>
          <w:sz w:val="18"/>
        </w:rPr>
        <w:t>e</w:t>
      </w:r>
      <w:r>
        <w:rPr>
          <w:spacing w:val="-10"/>
          <w:sz w:val="18"/>
        </w:rPr>
        <w:t> </w:t>
      </w:r>
      <w:r>
        <w:rPr>
          <w:sz w:val="18"/>
        </w:rPr>
        <w:t>manutenção. SEÇÃO I</w:t>
      </w:r>
    </w:p>
    <w:p>
      <w:pPr>
        <w:pStyle w:val="Heading1"/>
        <w:spacing w:before="11"/>
      </w:pPr>
      <w:r>
        <w:rPr/>
        <w:t>IDENTIFICAÇÃO DOS PROCESSOS CRÍTICOS DE </w:t>
      </w:r>
      <w:r>
        <w:rPr>
          <w:spacing w:val="-2"/>
        </w:rPr>
        <w:t>TRABALHO</w:t>
      </w:r>
    </w:p>
    <w:p>
      <w:pPr>
        <w:pStyle w:val="BodyText"/>
        <w:spacing w:before="18"/>
      </w:pPr>
    </w:p>
    <w:p>
      <w:pPr>
        <w:pStyle w:val="BodyText"/>
        <w:spacing w:line="249" w:lineRule="auto"/>
        <w:ind w:left="92" w:right="87"/>
        <w:jc w:val="both"/>
      </w:pPr>
      <w:r>
        <w:rPr/>
        <w:t>Art. 7° Os processos críticos de trabalho devem ser identificados com a alta administração e em consonância com o Plano de Continuidade do Negócio (PCN) e com o Planejamento Estratégico da Instituição (PEI).</w:t>
      </w:r>
    </w:p>
    <w:p>
      <w:pPr>
        <w:pStyle w:val="BodyText"/>
        <w:spacing w:after="0" w:line="249" w:lineRule="auto"/>
        <w:jc w:val="both"/>
        <w:sectPr>
          <w:pgSz w:w="11900" w:h="16840"/>
          <w:pgMar w:header="799" w:footer="725" w:top="2540" w:bottom="920" w:left="708" w:right="708"/>
        </w:sectPr>
      </w:pPr>
    </w:p>
    <w:p>
      <w:pPr>
        <w:pStyle w:val="BodyText"/>
      </w:pPr>
    </w:p>
    <w:p>
      <w:pPr>
        <w:pStyle w:val="BodyText"/>
        <w:spacing w:before="103"/>
      </w:pPr>
    </w:p>
    <w:p>
      <w:pPr>
        <w:pStyle w:val="BodyText"/>
        <w:spacing w:line="249" w:lineRule="auto"/>
        <w:ind w:left="92" w:right="83"/>
        <w:jc w:val="both"/>
      </w:pPr>
      <w:r>
        <w:rPr/>
        <w:t>§1° Na ausência de um PCN, a alta administração pode designar órgão colegiado, comitê ou comissão para apoiar na identificação desses processos.</w:t>
      </w:r>
    </w:p>
    <w:p>
      <w:pPr>
        <w:pStyle w:val="BodyText"/>
        <w:spacing w:before="11"/>
      </w:pPr>
    </w:p>
    <w:p>
      <w:pPr>
        <w:pStyle w:val="BodyText"/>
        <w:spacing w:line="249" w:lineRule="auto"/>
        <w:ind w:left="92" w:right="85"/>
        <w:jc w:val="both"/>
      </w:pPr>
      <w:r>
        <w:rPr/>
        <w:t>§2º Os processos críticos de trabalho são aqueles sem os quais as funções essenciais do MPE/AL perante o cidadão não</w:t>
      </w:r>
      <w:r>
        <w:rPr>
          <w:spacing w:val="40"/>
        </w:rPr>
        <w:t> </w:t>
      </w:r>
      <w:r>
        <w:rPr/>
        <w:t>podem ser exercidas.</w:t>
      </w:r>
    </w:p>
    <w:p>
      <w:pPr>
        <w:pStyle w:val="BodyText"/>
        <w:spacing w:before="10"/>
      </w:pPr>
    </w:p>
    <w:p>
      <w:pPr>
        <w:pStyle w:val="Heading1"/>
      </w:pPr>
      <w:r>
        <w:rPr/>
        <w:t>SEÇÃO </w:t>
      </w:r>
      <w:r>
        <w:rPr>
          <w:spacing w:val="-5"/>
        </w:rPr>
        <w:t>II</w:t>
      </w:r>
    </w:p>
    <w:p>
      <w:pPr>
        <w:spacing w:before="9"/>
        <w:ind w:left="92" w:right="0" w:firstLine="0"/>
        <w:jc w:val="left"/>
        <w:rPr>
          <w:sz w:val="18"/>
        </w:rPr>
      </w:pPr>
      <w:r>
        <w:rPr>
          <w:sz w:val="18"/>
        </w:rPr>
        <w:t>IDENTIFICAÇÃO DOS SERVIÇOS DE </w:t>
      </w:r>
      <w:r>
        <w:rPr>
          <w:spacing w:val="-5"/>
          <w:sz w:val="18"/>
        </w:rPr>
        <w:t>TI</w:t>
      </w:r>
    </w:p>
    <w:p>
      <w:pPr>
        <w:pStyle w:val="BodyText"/>
        <w:spacing w:before="18"/>
      </w:pPr>
    </w:p>
    <w:p>
      <w:pPr>
        <w:pStyle w:val="BodyText"/>
        <w:spacing w:line="249" w:lineRule="auto"/>
        <w:ind w:left="92" w:right="87"/>
        <w:jc w:val="both"/>
      </w:pPr>
      <w:r>
        <w:rPr/>
        <w:t>Art. 8° Elaborar um mapa relacionando os serviços de TI que dão suporte aos processos críticos de trabalho identificados </w:t>
      </w:r>
      <w:r>
        <w:rPr/>
        <w:t>na etapa anterior.</w:t>
      </w:r>
    </w:p>
    <w:p>
      <w:pPr>
        <w:pStyle w:val="BodyText"/>
        <w:spacing w:before="11"/>
      </w:pPr>
    </w:p>
    <w:p>
      <w:pPr>
        <w:pStyle w:val="BodyText"/>
        <w:ind w:left="92"/>
      </w:pPr>
      <w:r>
        <w:rPr/>
        <w:t>Parágrafo Único. Este mapa deve incluir, no </w:t>
      </w:r>
      <w:r>
        <w:rPr>
          <w:spacing w:val="-2"/>
        </w:rPr>
        <w:t>mínimo:</w:t>
      </w:r>
    </w:p>
    <w:p>
      <w:pPr>
        <w:pStyle w:val="BodyText"/>
        <w:spacing w:before="18"/>
      </w:pPr>
    </w:p>
    <w:p>
      <w:pPr>
        <w:pStyle w:val="ListParagraph"/>
        <w:numPr>
          <w:ilvl w:val="0"/>
          <w:numId w:val="5"/>
        </w:numPr>
        <w:tabs>
          <w:tab w:pos="192" w:val="left" w:leader="none"/>
        </w:tabs>
        <w:spacing w:line="240" w:lineRule="auto" w:before="0" w:after="0"/>
        <w:ind w:left="192" w:right="0" w:hanging="100"/>
        <w:jc w:val="left"/>
        <w:rPr>
          <w:sz w:val="18"/>
        </w:rPr>
      </w:pPr>
      <w:r>
        <w:rPr>
          <w:sz w:val="18"/>
        </w:rPr>
        <w:t>- Nome do serviço de TI, conforme apresentado no Catálogo de Serviços de </w:t>
      </w:r>
      <w:r>
        <w:rPr>
          <w:spacing w:val="-5"/>
          <w:sz w:val="18"/>
        </w:rPr>
        <w:t>TI;</w:t>
      </w:r>
    </w:p>
    <w:p>
      <w:pPr>
        <w:pStyle w:val="BodyText"/>
        <w:spacing w:before="18"/>
      </w:pPr>
    </w:p>
    <w:p>
      <w:pPr>
        <w:pStyle w:val="ListParagraph"/>
        <w:numPr>
          <w:ilvl w:val="0"/>
          <w:numId w:val="5"/>
        </w:numPr>
        <w:tabs>
          <w:tab w:pos="242" w:val="left" w:leader="none"/>
        </w:tabs>
        <w:spacing w:line="240" w:lineRule="auto" w:before="0" w:after="0"/>
        <w:ind w:left="242" w:right="0" w:hanging="150"/>
        <w:jc w:val="left"/>
        <w:rPr>
          <w:sz w:val="18"/>
        </w:rPr>
      </w:pPr>
      <w:r>
        <w:rPr>
          <w:sz w:val="18"/>
        </w:rPr>
        <w:t>- Ativos de TI que compõem cada serviço de TI e seus </w:t>
      </w:r>
      <w:r>
        <w:rPr>
          <w:spacing w:val="-2"/>
          <w:sz w:val="18"/>
        </w:rPr>
        <w:t>relacionamentos;</w:t>
      </w:r>
    </w:p>
    <w:p>
      <w:pPr>
        <w:pStyle w:val="BodyText"/>
        <w:spacing w:before="18"/>
      </w:pPr>
    </w:p>
    <w:p>
      <w:pPr>
        <w:pStyle w:val="ListParagraph"/>
        <w:numPr>
          <w:ilvl w:val="0"/>
          <w:numId w:val="5"/>
        </w:numPr>
        <w:tabs>
          <w:tab w:pos="292" w:val="left" w:leader="none"/>
        </w:tabs>
        <w:spacing w:line="240" w:lineRule="auto" w:before="0" w:after="0"/>
        <w:ind w:left="292" w:right="0" w:hanging="200"/>
        <w:jc w:val="left"/>
        <w:rPr>
          <w:sz w:val="18"/>
        </w:rPr>
      </w:pPr>
      <w:r>
        <w:rPr>
          <w:sz w:val="18"/>
        </w:rPr>
        <w:t>- Nome dos processos críticos de trabalho a que dão </w:t>
      </w:r>
      <w:r>
        <w:rPr>
          <w:spacing w:val="-2"/>
          <w:sz w:val="18"/>
        </w:rPr>
        <w:t>suporte;</w:t>
      </w:r>
    </w:p>
    <w:p>
      <w:pPr>
        <w:pStyle w:val="BodyText"/>
        <w:spacing w:before="18"/>
      </w:pPr>
    </w:p>
    <w:p>
      <w:pPr>
        <w:pStyle w:val="ListParagraph"/>
        <w:numPr>
          <w:ilvl w:val="0"/>
          <w:numId w:val="6"/>
        </w:numPr>
        <w:tabs>
          <w:tab w:pos="372" w:val="left" w:leader="none"/>
        </w:tabs>
        <w:spacing w:line="240" w:lineRule="auto" w:before="0" w:after="0"/>
        <w:ind w:left="372" w:right="0" w:hanging="280"/>
        <w:jc w:val="left"/>
        <w:rPr>
          <w:sz w:val="18"/>
        </w:rPr>
      </w:pPr>
      <w:r>
        <w:rPr>
          <w:sz w:val="18"/>
        </w:rPr>
        <w:t>Nome da unidade organizacional responsável pelo processo crítico de </w:t>
      </w:r>
      <w:r>
        <w:rPr>
          <w:spacing w:val="-2"/>
          <w:sz w:val="18"/>
        </w:rPr>
        <w:t>trabalho;</w:t>
      </w:r>
    </w:p>
    <w:p>
      <w:pPr>
        <w:pStyle w:val="ListParagraph"/>
        <w:numPr>
          <w:ilvl w:val="0"/>
          <w:numId w:val="6"/>
        </w:numPr>
        <w:tabs>
          <w:tab w:pos="322" w:val="left" w:leader="none"/>
        </w:tabs>
        <w:spacing w:line="430" w:lineRule="atLeast" w:before="2" w:after="0"/>
        <w:ind w:left="92" w:right="4996" w:firstLine="0"/>
        <w:jc w:val="left"/>
        <w:rPr>
          <w:sz w:val="18"/>
        </w:rPr>
      </w:pPr>
      <w:r>
        <w:rPr>
          <w:sz w:val="18"/>
        </w:rPr>
        <w:t>Nome</w:t>
      </w:r>
      <w:r>
        <w:rPr>
          <w:spacing w:val="-5"/>
          <w:sz w:val="18"/>
        </w:rPr>
        <w:t> </w:t>
      </w:r>
      <w:r>
        <w:rPr>
          <w:sz w:val="18"/>
        </w:rPr>
        <w:t>da</w:t>
      </w:r>
      <w:r>
        <w:rPr>
          <w:spacing w:val="-5"/>
          <w:sz w:val="18"/>
        </w:rPr>
        <w:t> </w:t>
      </w:r>
      <w:r>
        <w:rPr>
          <w:sz w:val="18"/>
        </w:rPr>
        <w:t>unidade</w:t>
      </w:r>
      <w:r>
        <w:rPr>
          <w:spacing w:val="-5"/>
          <w:sz w:val="18"/>
        </w:rPr>
        <w:t> </w:t>
      </w:r>
      <w:r>
        <w:rPr>
          <w:sz w:val="18"/>
        </w:rPr>
        <w:t>organizacional</w:t>
      </w:r>
      <w:r>
        <w:rPr>
          <w:spacing w:val="-5"/>
          <w:sz w:val="18"/>
        </w:rPr>
        <w:t> </w:t>
      </w:r>
      <w:r>
        <w:rPr>
          <w:sz w:val="18"/>
        </w:rPr>
        <w:t>responsável</w:t>
      </w:r>
      <w:r>
        <w:rPr>
          <w:spacing w:val="-5"/>
          <w:sz w:val="18"/>
        </w:rPr>
        <w:t> </w:t>
      </w:r>
      <w:r>
        <w:rPr>
          <w:sz w:val="18"/>
        </w:rPr>
        <w:t>pelo</w:t>
      </w:r>
      <w:r>
        <w:rPr>
          <w:spacing w:val="-5"/>
          <w:sz w:val="18"/>
        </w:rPr>
        <w:t> </w:t>
      </w:r>
      <w:r>
        <w:rPr>
          <w:sz w:val="18"/>
        </w:rPr>
        <w:t>serviço</w:t>
      </w:r>
      <w:r>
        <w:rPr>
          <w:spacing w:val="-5"/>
          <w:sz w:val="18"/>
        </w:rPr>
        <w:t> </w:t>
      </w:r>
      <w:r>
        <w:rPr>
          <w:sz w:val="18"/>
        </w:rPr>
        <w:t>de</w:t>
      </w:r>
      <w:r>
        <w:rPr>
          <w:spacing w:val="-5"/>
          <w:sz w:val="18"/>
        </w:rPr>
        <w:t> </w:t>
      </w:r>
      <w:r>
        <w:rPr>
          <w:sz w:val="18"/>
        </w:rPr>
        <w:t>Tl. SEÇÃO III</w:t>
      </w:r>
    </w:p>
    <w:p>
      <w:pPr>
        <w:pStyle w:val="Heading1"/>
        <w:spacing w:before="11"/>
      </w:pPr>
      <w:r>
        <w:rPr/>
        <w:t>AVALIAÇÃO DE </w:t>
      </w:r>
      <w:r>
        <w:rPr>
          <w:spacing w:val="-2"/>
        </w:rPr>
        <w:t>RISCOS</w:t>
      </w:r>
    </w:p>
    <w:p>
      <w:pPr>
        <w:pStyle w:val="BodyText"/>
        <w:spacing w:before="18"/>
      </w:pPr>
    </w:p>
    <w:p>
      <w:pPr>
        <w:pStyle w:val="BodyText"/>
        <w:spacing w:line="249" w:lineRule="auto"/>
        <w:ind w:left="92" w:right="87"/>
        <w:jc w:val="both"/>
      </w:pPr>
      <w:r>
        <w:rPr/>
        <w:t>Art. 9° A avaliação de riscos deve ser feita com o intuito de identificar os eventos que podem causar indisponibilidades graves nos serviços de TI que apoiam os processos críticos de trabalho, seus impactos e a probabilidade de eles ocorrerem.</w:t>
      </w:r>
    </w:p>
    <w:p>
      <w:pPr>
        <w:pStyle w:val="BodyText"/>
        <w:spacing w:before="10"/>
      </w:pPr>
    </w:p>
    <w:p>
      <w:pPr>
        <w:pStyle w:val="BodyText"/>
        <w:spacing w:before="1"/>
        <w:ind w:left="92"/>
      </w:pPr>
      <w:r>
        <w:rPr/>
        <w:t>§1º A avaliação de riscos deve ser realizada de acordo com o previsto na Política de Gestão de Riscos de TI do </w:t>
      </w:r>
      <w:r>
        <w:rPr>
          <w:spacing w:val="-2"/>
        </w:rPr>
        <w:t>MPAL.</w:t>
      </w:r>
    </w:p>
    <w:p>
      <w:pPr>
        <w:pStyle w:val="BodyText"/>
        <w:spacing w:before="17"/>
      </w:pPr>
    </w:p>
    <w:p>
      <w:pPr>
        <w:pStyle w:val="BodyText"/>
        <w:spacing w:line="249" w:lineRule="auto" w:before="1"/>
        <w:ind w:left="92" w:right="83"/>
        <w:jc w:val="both"/>
      </w:pPr>
      <w:r>
        <w:rPr/>
        <w:t>§2° As soluções de contingência devem ser providenciadas para os serviços de TI em que haja ocorrência de eventos classificados com média ou alta probabilidade de ocorrer e cuja indisponibilidade gere grandes impactos nos processos críticos de trabalho.</w:t>
      </w:r>
    </w:p>
    <w:p>
      <w:pPr>
        <w:pStyle w:val="BodyText"/>
        <w:spacing w:before="11"/>
      </w:pPr>
    </w:p>
    <w:p>
      <w:pPr>
        <w:pStyle w:val="Heading1"/>
      </w:pPr>
      <w:r>
        <w:rPr/>
        <w:t>SEÇÃO </w:t>
      </w:r>
      <w:r>
        <w:rPr>
          <w:spacing w:val="-5"/>
        </w:rPr>
        <w:t>IV</w:t>
      </w:r>
    </w:p>
    <w:p>
      <w:pPr>
        <w:spacing w:before="9"/>
        <w:ind w:left="92" w:right="0" w:firstLine="0"/>
        <w:jc w:val="left"/>
        <w:rPr>
          <w:sz w:val="18"/>
        </w:rPr>
      </w:pPr>
      <w:r>
        <w:rPr>
          <w:sz w:val="18"/>
        </w:rPr>
        <w:t>SOLUÇÃO DE </w:t>
      </w:r>
      <w:r>
        <w:rPr>
          <w:spacing w:val="-2"/>
          <w:sz w:val="18"/>
        </w:rPr>
        <w:t>CONTINGÊNCIA</w:t>
      </w:r>
    </w:p>
    <w:p>
      <w:pPr>
        <w:pStyle w:val="BodyText"/>
        <w:spacing w:before="18"/>
      </w:pPr>
    </w:p>
    <w:p>
      <w:pPr>
        <w:pStyle w:val="BodyText"/>
        <w:spacing w:line="249" w:lineRule="auto"/>
        <w:ind w:left="92" w:right="85"/>
        <w:jc w:val="both"/>
      </w:pPr>
      <w:r>
        <w:rPr/>
        <w:t>Art. 10 A solução de contingência consiste em definir quais os mecanismos que serão adotados para prover um ambiente</w:t>
      </w:r>
      <w:r>
        <w:rPr>
          <w:spacing w:val="40"/>
        </w:rPr>
        <w:t> </w:t>
      </w:r>
      <w:r>
        <w:rPr/>
        <w:t>backup para os serviços de TI que necessitam ser incluídos no Plano de Continuidade de TI. Parágrafo único. Fica a cargo do CETI aprovar a solução de contingência apresentada pela DTI.</w:t>
      </w:r>
    </w:p>
    <w:p>
      <w:pPr>
        <w:pStyle w:val="BodyText"/>
        <w:spacing w:before="11"/>
      </w:pPr>
    </w:p>
    <w:p>
      <w:pPr>
        <w:pStyle w:val="BodyText"/>
        <w:spacing w:line="249" w:lineRule="auto"/>
        <w:ind w:left="92" w:right="88"/>
        <w:jc w:val="both"/>
      </w:pPr>
      <w:r>
        <w:rPr/>
        <w:t>Art. 11 O ambiente backup é de um local alternativo, distinto e distante do local onde o serviço de TI funciona primariamente, no qual serão instalados e mantidos os serviços de TI e seus ativos de forma secundária, a um custo justificável, de acordo com a avaliação de riscos feita anteriormente.</w:t>
      </w:r>
    </w:p>
    <w:p>
      <w:pPr>
        <w:pStyle w:val="BodyText"/>
        <w:spacing w:before="11"/>
      </w:pPr>
    </w:p>
    <w:p>
      <w:pPr>
        <w:pStyle w:val="BodyText"/>
        <w:spacing w:line="249" w:lineRule="auto"/>
        <w:ind w:left="92" w:right="84"/>
        <w:jc w:val="both"/>
      </w:pPr>
      <w:r>
        <w:rPr/>
        <w:t>Art. 12 Fica a cargo do Comitê Estratégico de Tecnologia da Informação (CETI) definir o local do ambiente backup, sua infraestrutura, como será mantido e quais os critérios que devem ser atendidos em termos de segurança, capacidade e disponibilidade, em conformidade com as normas internas vigentes.</w:t>
      </w:r>
    </w:p>
    <w:p>
      <w:pPr>
        <w:pStyle w:val="BodyText"/>
        <w:spacing w:before="11"/>
      </w:pPr>
    </w:p>
    <w:p>
      <w:pPr>
        <w:pStyle w:val="BodyText"/>
        <w:spacing w:line="249" w:lineRule="auto" w:before="1"/>
        <w:ind w:left="92" w:right="67"/>
        <w:jc w:val="both"/>
      </w:pPr>
      <w:r>
        <w:rPr/>
        <w:t>Art. 13 Em situações de contingência, os Acordos de Níveis de Serviço estabelecidos conforme o Catálogo de Serviços de TI, poderão não ser atendidos em sua totalidade, uma vez que os serviços podem não estar sendo oferecidos com sua capacidade originalmente planejada para funcionamento em situações normais.</w:t>
      </w:r>
    </w:p>
    <w:p>
      <w:pPr>
        <w:pStyle w:val="BodyText"/>
        <w:spacing w:before="11"/>
      </w:pPr>
    </w:p>
    <w:p>
      <w:pPr>
        <w:pStyle w:val="BodyText"/>
        <w:spacing w:line="249" w:lineRule="auto"/>
        <w:ind w:left="92" w:right="88"/>
        <w:jc w:val="both"/>
      </w:pPr>
      <w:r>
        <w:rPr/>
        <w:t>Art. 14 A solução de contingência deve ser acionada quando da ocorrência do desastre e deve permanecer operacional até que este seja resolvido e o ambiente primário tenha sido restabelecido.</w:t>
      </w:r>
    </w:p>
    <w:p>
      <w:pPr>
        <w:pStyle w:val="BodyText"/>
        <w:spacing w:after="0" w:line="249" w:lineRule="auto"/>
        <w:jc w:val="both"/>
        <w:sectPr>
          <w:pgSz w:w="11900" w:h="16840"/>
          <w:pgMar w:header="799" w:footer="725" w:top="2540" w:bottom="920" w:left="708" w:right="708"/>
        </w:sectPr>
      </w:pPr>
    </w:p>
    <w:p>
      <w:pPr>
        <w:pStyle w:val="BodyText"/>
        <w:spacing w:before="94"/>
      </w:pPr>
    </w:p>
    <w:p>
      <w:pPr>
        <w:pStyle w:val="Heading1"/>
      </w:pPr>
      <w:r>
        <w:rPr/>
        <w:t>SEÇÃO </w:t>
      </w:r>
      <w:r>
        <w:rPr>
          <w:spacing w:val="-10"/>
        </w:rPr>
        <w:t>V</w:t>
      </w:r>
    </w:p>
    <w:p>
      <w:pPr>
        <w:spacing w:before="9"/>
        <w:ind w:left="92" w:right="0" w:firstLine="0"/>
        <w:jc w:val="left"/>
        <w:rPr>
          <w:sz w:val="18"/>
        </w:rPr>
      </w:pPr>
      <w:r>
        <w:rPr>
          <w:sz w:val="18"/>
        </w:rPr>
        <w:t>ELABORAÇÃO DO PLANO DE </w:t>
      </w:r>
      <w:r>
        <w:rPr>
          <w:spacing w:val="-2"/>
          <w:sz w:val="18"/>
        </w:rPr>
        <w:t>RECUPERAÇÃO</w:t>
      </w:r>
    </w:p>
    <w:p>
      <w:pPr>
        <w:pStyle w:val="BodyText"/>
        <w:spacing w:before="18"/>
      </w:pPr>
    </w:p>
    <w:p>
      <w:pPr>
        <w:pStyle w:val="BodyText"/>
        <w:spacing w:line="249" w:lineRule="auto"/>
        <w:ind w:left="92" w:right="85"/>
        <w:jc w:val="both"/>
      </w:pPr>
      <w:r>
        <w:rPr/>
        <w:t>Art. 15 Fica a cargo da Diretoria de Tecnologia da Informação (DTI) elaborar o Plano de Recuperação, e o CETI é responsável por aprová-lo. Parágrafo único: O Plano de Recuperação é um documento, na forma de processo ou de matriz RACI, que</w:t>
      </w:r>
      <w:r>
        <w:rPr>
          <w:spacing w:val="40"/>
        </w:rPr>
        <w:t> </w:t>
      </w:r>
      <w:r>
        <w:rPr/>
        <w:t>detalha as instruções necessárias para o acionamento da solução de contingência e deve conter, no mínimo:</w:t>
      </w:r>
    </w:p>
    <w:p>
      <w:pPr>
        <w:pStyle w:val="BodyText"/>
        <w:spacing w:before="11"/>
      </w:pPr>
    </w:p>
    <w:p>
      <w:pPr>
        <w:pStyle w:val="ListParagraph"/>
        <w:numPr>
          <w:ilvl w:val="0"/>
          <w:numId w:val="7"/>
        </w:numPr>
        <w:tabs>
          <w:tab w:pos="196" w:val="left" w:leader="none"/>
        </w:tabs>
        <w:spacing w:line="249" w:lineRule="auto" w:before="1" w:after="0"/>
        <w:ind w:left="92" w:right="87" w:firstLine="0"/>
        <w:jc w:val="both"/>
        <w:rPr>
          <w:sz w:val="18"/>
        </w:rPr>
      </w:pPr>
      <w:r>
        <w:rPr>
          <w:sz w:val="18"/>
        </w:rPr>
        <w:t>– Papeis e responsabilidades, indicando quem são os responsáveis por acionar a solução de contingência e suas respectivas </w:t>
      </w:r>
      <w:r>
        <w:rPr>
          <w:spacing w:val="-2"/>
          <w:sz w:val="18"/>
        </w:rPr>
        <w:t>ações;</w:t>
      </w:r>
    </w:p>
    <w:p>
      <w:pPr>
        <w:pStyle w:val="ListParagraph"/>
        <w:numPr>
          <w:ilvl w:val="0"/>
          <w:numId w:val="7"/>
        </w:numPr>
        <w:tabs>
          <w:tab w:pos="242" w:val="left" w:leader="none"/>
        </w:tabs>
        <w:spacing w:line="432" w:lineRule="exact" w:before="40" w:after="0"/>
        <w:ind w:left="92" w:right="1595" w:firstLine="0"/>
        <w:jc w:val="left"/>
        <w:rPr>
          <w:sz w:val="18"/>
        </w:rPr>
      </w:pPr>
      <w:r>
        <w:rPr>
          <w:sz w:val="18"/>
        </w:rPr>
        <w:t>–</w:t>
      </w:r>
      <w:r>
        <w:rPr>
          <w:spacing w:val="-3"/>
          <w:sz w:val="18"/>
        </w:rPr>
        <w:t> </w:t>
      </w:r>
      <w:r>
        <w:rPr>
          <w:sz w:val="18"/>
        </w:rPr>
        <w:t>As</w:t>
      </w:r>
      <w:r>
        <w:rPr>
          <w:spacing w:val="-3"/>
          <w:sz w:val="18"/>
        </w:rPr>
        <w:t> </w:t>
      </w:r>
      <w:r>
        <w:rPr>
          <w:sz w:val="18"/>
        </w:rPr>
        <w:t>ações</w:t>
      </w:r>
      <w:r>
        <w:rPr>
          <w:spacing w:val="-3"/>
          <w:sz w:val="18"/>
        </w:rPr>
        <w:t> </w:t>
      </w:r>
      <w:r>
        <w:rPr>
          <w:sz w:val="18"/>
        </w:rPr>
        <w:t>que</w:t>
      </w:r>
      <w:r>
        <w:rPr>
          <w:spacing w:val="-3"/>
          <w:sz w:val="18"/>
        </w:rPr>
        <w:t> </w:t>
      </w:r>
      <w:r>
        <w:rPr>
          <w:sz w:val="18"/>
        </w:rPr>
        <w:t>serão</w:t>
      </w:r>
      <w:r>
        <w:rPr>
          <w:spacing w:val="-3"/>
          <w:sz w:val="18"/>
        </w:rPr>
        <w:t> </w:t>
      </w:r>
      <w:r>
        <w:rPr>
          <w:sz w:val="18"/>
        </w:rPr>
        <w:t>executadas</w:t>
      </w:r>
      <w:r>
        <w:rPr>
          <w:spacing w:val="-3"/>
          <w:sz w:val="18"/>
        </w:rPr>
        <w:t> </w:t>
      </w:r>
      <w:r>
        <w:rPr>
          <w:sz w:val="18"/>
        </w:rPr>
        <w:t>de</w:t>
      </w:r>
      <w:r>
        <w:rPr>
          <w:spacing w:val="-3"/>
          <w:sz w:val="18"/>
        </w:rPr>
        <w:t> </w:t>
      </w:r>
      <w:r>
        <w:rPr>
          <w:sz w:val="18"/>
        </w:rPr>
        <w:t>forma</w:t>
      </w:r>
      <w:r>
        <w:rPr>
          <w:spacing w:val="-3"/>
          <w:sz w:val="18"/>
        </w:rPr>
        <w:t> </w:t>
      </w:r>
      <w:r>
        <w:rPr>
          <w:sz w:val="18"/>
        </w:rPr>
        <w:t>automática</w:t>
      </w:r>
      <w:r>
        <w:rPr>
          <w:spacing w:val="-3"/>
          <w:sz w:val="18"/>
        </w:rPr>
        <w:t> </w:t>
      </w:r>
      <w:r>
        <w:rPr>
          <w:sz w:val="18"/>
        </w:rPr>
        <w:t>e</w:t>
      </w:r>
      <w:r>
        <w:rPr>
          <w:spacing w:val="-3"/>
          <w:sz w:val="18"/>
        </w:rPr>
        <w:t> </w:t>
      </w:r>
      <w:r>
        <w:rPr>
          <w:sz w:val="18"/>
        </w:rPr>
        <w:t>as</w:t>
      </w:r>
      <w:r>
        <w:rPr>
          <w:spacing w:val="-3"/>
          <w:sz w:val="18"/>
        </w:rPr>
        <w:t> </w:t>
      </w:r>
      <w:r>
        <w:rPr>
          <w:sz w:val="18"/>
        </w:rPr>
        <w:t>que</w:t>
      </w:r>
      <w:r>
        <w:rPr>
          <w:spacing w:val="-3"/>
          <w:sz w:val="18"/>
        </w:rPr>
        <w:t> </w:t>
      </w:r>
      <w:r>
        <w:rPr>
          <w:sz w:val="18"/>
        </w:rPr>
        <w:t>precisam</w:t>
      </w:r>
      <w:r>
        <w:rPr>
          <w:spacing w:val="-3"/>
          <w:sz w:val="18"/>
        </w:rPr>
        <w:t> </w:t>
      </w:r>
      <w:r>
        <w:rPr>
          <w:sz w:val="18"/>
        </w:rPr>
        <w:t>ser</w:t>
      </w:r>
      <w:r>
        <w:rPr>
          <w:spacing w:val="-3"/>
          <w:sz w:val="18"/>
        </w:rPr>
        <w:t> </w:t>
      </w:r>
      <w:r>
        <w:rPr>
          <w:sz w:val="18"/>
        </w:rPr>
        <w:t>executadas</w:t>
      </w:r>
      <w:r>
        <w:rPr>
          <w:spacing w:val="-3"/>
          <w:sz w:val="18"/>
        </w:rPr>
        <w:t> </w:t>
      </w:r>
      <w:r>
        <w:rPr>
          <w:sz w:val="18"/>
        </w:rPr>
        <w:t>de</w:t>
      </w:r>
      <w:r>
        <w:rPr>
          <w:spacing w:val="-3"/>
          <w:sz w:val="18"/>
        </w:rPr>
        <w:t> </w:t>
      </w:r>
      <w:r>
        <w:rPr>
          <w:sz w:val="18"/>
        </w:rPr>
        <w:t>forma</w:t>
      </w:r>
      <w:r>
        <w:rPr>
          <w:spacing w:val="-3"/>
          <w:sz w:val="18"/>
        </w:rPr>
        <w:t> </w:t>
      </w:r>
      <w:r>
        <w:rPr>
          <w:sz w:val="18"/>
        </w:rPr>
        <w:t>manual. SEÇÃO VI</w:t>
      </w:r>
    </w:p>
    <w:p>
      <w:pPr>
        <w:pStyle w:val="Heading1"/>
        <w:spacing w:line="168" w:lineRule="exact"/>
      </w:pPr>
      <w:r>
        <w:rPr/>
        <w:t>TESTES, TREINAMENTO E </w:t>
      </w:r>
      <w:r>
        <w:rPr>
          <w:spacing w:val="-2"/>
        </w:rPr>
        <w:t>MANUTENÇÃO</w:t>
      </w:r>
    </w:p>
    <w:p>
      <w:pPr>
        <w:pStyle w:val="BodyText"/>
        <w:spacing w:before="18"/>
      </w:pPr>
    </w:p>
    <w:p>
      <w:pPr>
        <w:pStyle w:val="BodyText"/>
        <w:spacing w:line="249" w:lineRule="auto"/>
        <w:ind w:left="92" w:right="88"/>
        <w:jc w:val="both"/>
      </w:pPr>
      <w:r>
        <w:rPr/>
        <w:t>Art. 16 Para garantir que a Solução de Contingência funcione em situação de desastre, ela e o Plano de Recuperação precisam ser testados periodicamente.</w:t>
      </w:r>
    </w:p>
    <w:p>
      <w:pPr>
        <w:pStyle w:val="BodyText"/>
        <w:spacing w:before="11"/>
      </w:pPr>
    </w:p>
    <w:p>
      <w:pPr>
        <w:pStyle w:val="ListParagraph"/>
        <w:numPr>
          <w:ilvl w:val="0"/>
          <w:numId w:val="8"/>
        </w:numPr>
        <w:tabs>
          <w:tab w:pos="192" w:val="left" w:leader="none"/>
        </w:tabs>
        <w:spacing w:line="240" w:lineRule="auto" w:before="0" w:after="0"/>
        <w:ind w:left="192" w:right="0" w:hanging="100"/>
        <w:jc w:val="both"/>
        <w:rPr>
          <w:sz w:val="18"/>
        </w:rPr>
      </w:pPr>
      <w:r>
        <w:rPr>
          <w:sz w:val="18"/>
        </w:rPr>
        <w:t>– Criar e executar periodicamente as rotinas de testes da Solução de Contingência e reportar os resultados ao </w:t>
      </w:r>
      <w:r>
        <w:rPr>
          <w:spacing w:val="-2"/>
          <w:sz w:val="18"/>
        </w:rPr>
        <w:t>CETI;</w:t>
      </w:r>
    </w:p>
    <w:p>
      <w:pPr>
        <w:pStyle w:val="BodyText"/>
        <w:spacing w:before="18"/>
      </w:pPr>
    </w:p>
    <w:p>
      <w:pPr>
        <w:pStyle w:val="ListParagraph"/>
        <w:numPr>
          <w:ilvl w:val="0"/>
          <w:numId w:val="8"/>
        </w:numPr>
        <w:tabs>
          <w:tab w:pos="253" w:val="left" w:leader="none"/>
        </w:tabs>
        <w:spacing w:line="249" w:lineRule="auto" w:before="0" w:after="0"/>
        <w:ind w:left="92" w:right="86" w:firstLine="0"/>
        <w:jc w:val="both"/>
        <w:rPr>
          <w:sz w:val="18"/>
        </w:rPr>
      </w:pPr>
      <w:r>
        <w:rPr>
          <w:sz w:val="18"/>
        </w:rPr>
        <w:t>– Treinar as pessoas envolvidas no Plano de Recuperação, de forma que todos conheçam seus papeis e responsabilidade quando a Solução de Contingência tiver de ser acionada.</w:t>
      </w:r>
    </w:p>
    <w:p>
      <w:pPr>
        <w:pStyle w:val="BodyText"/>
        <w:spacing w:before="10"/>
      </w:pPr>
    </w:p>
    <w:p>
      <w:pPr>
        <w:pStyle w:val="BodyText"/>
        <w:spacing w:line="249" w:lineRule="auto"/>
        <w:ind w:left="92" w:right="86"/>
        <w:jc w:val="both"/>
      </w:pPr>
      <w:r>
        <w:rPr/>
        <w:t>Art. 17 O Plano de Continuidade deve ser continuamente revisado para refletir, quando houver, as alterações nos processos críticos de trabalho e/ou nos serviços de TI que o apoiam.</w:t>
      </w:r>
    </w:p>
    <w:p>
      <w:pPr>
        <w:pStyle w:val="BodyText"/>
        <w:spacing w:before="11"/>
      </w:pPr>
    </w:p>
    <w:p>
      <w:pPr>
        <w:pStyle w:val="Heading1"/>
      </w:pPr>
      <w:r>
        <w:rPr/>
        <w:t>CAPÍTULO </w:t>
      </w:r>
      <w:r>
        <w:rPr>
          <w:spacing w:val="-5"/>
        </w:rPr>
        <w:t>IV</w:t>
      </w:r>
    </w:p>
    <w:p>
      <w:pPr>
        <w:spacing w:before="9"/>
        <w:ind w:left="92" w:right="0" w:firstLine="0"/>
        <w:jc w:val="left"/>
        <w:rPr>
          <w:sz w:val="18"/>
        </w:rPr>
      </w:pPr>
      <w:r>
        <w:rPr>
          <w:sz w:val="18"/>
        </w:rPr>
        <w:t>DAS DISPOSIÇÕES </w:t>
      </w:r>
      <w:r>
        <w:rPr>
          <w:spacing w:val="-2"/>
          <w:sz w:val="18"/>
        </w:rPr>
        <w:t>FINAIS</w:t>
      </w:r>
    </w:p>
    <w:p>
      <w:pPr>
        <w:pStyle w:val="BodyText"/>
        <w:spacing w:before="18"/>
      </w:pPr>
    </w:p>
    <w:p>
      <w:pPr>
        <w:pStyle w:val="BodyText"/>
        <w:spacing w:line="249" w:lineRule="auto"/>
        <w:ind w:left="92" w:right="87"/>
        <w:jc w:val="both"/>
      </w:pPr>
      <w:r>
        <w:rPr/>
        <w:t>Art. 18 Deverão ser desenvolvidas e implantadas estratégias de sensibilização da instituição quanto à importância do Plano de Continuidade de TI, em consonância com o disposto da Política de Governança e Gestão de TI.</w:t>
      </w:r>
    </w:p>
    <w:p>
      <w:pPr>
        <w:pStyle w:val="BodyText"/>
        <w:spacing w:before="10"/>
      </w:pPr>
    </w:p>
    <w:p>
      <w:pPr>
        <w:pStyle w:val="BodyText"/>
        <w:spacing w:line="249" w:lineRule="auto"/>
        <w:ind w:left="92" w:right="84"/>
        <w:jc w:val="both"/>
      </w:pPr>
      <w:r>
        <w:rPr/>
        <w:t>Art. 19 As áreas estruturantes, Diretoria Geral, Engenharia, Assessoria Militar, Diretoria Administrativa e Operacional, Diretoria de Comunicação Social deverão participar na elaboração, revisão e execução dos planos e soluções mencionados nesta</w:t>
      </w:r>
      <w:r>
        <w:rPr>
          <w:spacing w:val="80"/>
        </w:rPr>
        <w:t> </w:t>
      </w:r>
      <w:r>
        <w:rPr/>
        <w:t>Política de Continuidade de TI. Parágrafo único: Outras áreas poderão ser acionadas para ser contribuir para o atendimento desta Política de Continuidade de TI.</w:t>
      </w:r>
    </w:p>
    <w:p>
      <w:pPr>
        <w:pStyle w:val="BodyText"/>
        <w:spacing w:before="12"/>
      </w:pPr>
    </w:p>
    <w:p>
      <w:pPr>
        <w:pStyle w:val="BodyText"/>
        <w:ind w:left="92"/>
        <w:jc w:val="both"/>
      </w:pPr>
      <w:r>
        <w:rPr/>
        <w:t>Gabinete do Procurador-Geral de Justiça, em Maceió, 10 de fevereiro de </w:t>
      </w:r>
      <w:r>
        <w:rPr>
          <w:spacing w:val="-2"/>
        </w:rPr>
        <w:t>2025.</w:t>
      </w:r>
    </w:p>
    <w:p>
      <w:pPr>
        <w:pStyle w:val="BodyText"/>
      </w:pPr>
    </w:p>
    <w:p>
      <w:pPr>
        <w:pStyle w:val="BodyText"/>
        <w:spacing w:before="27"/>
      </w:pPr>
    </w:p>
    <w:p>
      <w:pPr>
        <w:pStyle w:val="Heading1"/>
      </w:pPr>
      <w:r>
        <w:rPr/>
        <w:t>LEAN ANTÔNIO FERREIRA DE </w:t>
      </w:r>
      <w:r>
        <w:rPr>
          <w:spacing w:val="-2"/>
        </w:rPr>
        <w:t>ARAÚJO</w:t>
      </w:r>
    </w:p>
    <w:p>
      <w:pPr>
        <w:pStyle w:val="BodyText"/>
        <w:spacing w:before="9"/>
        <w:ind w:left="92"/>
        <w:jc w:val="both"/>
      </w:pPr>
      <w:r>
        <w:rPr/>
        <w:t>Procurador-Geral de </w:t>
      </w:r>
      <w:r>
        <w:rPr>
          <w:spacing w:val="-2"/>
        </w:rPr>
        <w:t>Justiça</w:t>
      </w:r>
    </w:p>
    <w:p>
      <w:pPr>
        <w:pStyle w:val="BodyText"/>
        <w:spacing w:before="18"/>
      </w:pPr>
    </w:p>
    <w:p>
      <w:pPr>
        <w:spacing w:before="0"/>
        <w:ind w:left="0" w:right="0" w:firstLine="0"/>
        <w:jc w:val="center"/>
        <w:rPr>
          <w:rFonts w:ascii="Arial" w:hAnsi="Arial"/>
          <w:b/>
          <w:sz w:val="18"/>
        </w:rPr>
      </w:pPr>
      <w:r>
        <w:rPr>
          <w:rFonts w:ascii="Arial" w:hAnsi="Arial"/>
          <w:b/>
          <w:sz w:val="18"/>
        </w:rPr>
        <w:t>Despachos do Procurador-Geral de </w:t>
      </w:r>
      <w:r>
        <w:rPr>
          <w:rFonts w:ascii="Arial" w:hAnsi="Arial"/>
          <w:b/>
          <w:spacing w:val="-2"/>
          <w:sz w:val="18"/>
        </w:rPr>
        <w:t>Justiça</w:t>
      </w:r>
    </w:p>
    <w:p>
      <w:pPr>
        <w:pStyle w:val="BodyText"/>
        <w:spacing w:before="42"/>
        <w:rPr>
          <w:rFonts w:ascii="Arial"/>
          <w:b/>
        </w:rPr>
      </w:pPr>
    </w:p>
    <w:p>
      <w:pPr>
        <w:pStyle w:val="Heading1"/>
        <w:spacing w:line="249" w:lineRule="auto"/>
      </w:pPr>
      <w:r>
        <w:rPr/>
        <w:t>O</w:t>
      </w:r>
      <w:r>
        <w:rPr>
          <w:spacing w:val="40"/>
        </w:rPr>
        <w:t> </w:t>
      </w:r>
      <w:r>
        <w:rPr/>
        <w:t>PROCURADOR-GERAL</w:t>
      </w:r>
      <w:r>
        <w:rPr>
          <w:spacing w:val="40"/>
        </w:rPr>
        <w:t> </w:t>
      </w:r>
      <w:r>
        <w:rPr/>
        <w:t>DE</w:t>
      </w:r>
      <w:r>
        <w:rPr>
          <w:spacing w:val="40"/>
        </w:rPr>
        <w:t> </w:t>
      </w:r>
      <w:r>
        <w:rPr/>
        <w:t>JUSTIÇA</w:t>
      </w:r>
      <w:r>
        <w:rPr>
          <w:spacing w:val="40"/>
        </w:rPr>
        <w:t> </w:t>
      </w:r>
      <w:r>
        <w:rPr/>
        <w:t>DO</w:t>
      </w:r>
      <w:r>
        <w:rPr>
          <w:spacing w:val="40"/>
        </w:rPr>
        <w:t> </w:t>
      </w:r>
      <w:r>
        <w:rPr/>
        <w:t>MINISTÉRIO</w:t>
      </w:r>
      <w:r>
        <w:rPr>
          <w:spacing w:val="40"/>
        </w:rPr>
        <w:t> </w:t>
      </w:r>
      <w:r>
        <w:rPr/>
        <w:t>PÚBLICO</w:t>
      </w:r>
      <w:r>
        <w:rPr>
          <w:spacing w:val="40"/>
        </w:rPr>
        <w:t> </w:t>
      </w:r>
      <w:r>
        <w:rPr/>
        <w:t>DO</w:t>
      </w:r>
      <w:r>
        <w:rPr>
          <w:spacing w:val="40"/>
        </w:rPr>
        <w:t> </w:t>
      </w:r>
      <w:r>
        <w:rPr/>
        <w:t>ESTADO</w:t>
      </w:r>
      <w:r>
        <w:rPr>
          <w:spacing w:val="40"/>
        </w:rPr>
        <w:t> </w:t>
      </w:r>
      <w:r>
        <w:rPr/>
        <w:t>DE</w:t>
      </w:r>
      <w:r>
        <w:rPr>
          <w:spacing w:val="40"/>
        </w:rPr>
        <w:t> </w:t>
      </w:r>
      <w:r>
        <w:rPr/>
        <w:t>ALAGOAS,</w:t>
      </w:r>
      <w:r>
        <w:rPr>
          <w:spacing w:val="40"/>
        </w:rPr>
        <w:t> </w:t>
      </w:r>
      <w:r>
        <w:rPr/>
        <w:t>DR.</w:t>
      </w:r>
      <w:r>
        <w:rPr>
          <w:spacing w:val="40"/>
        </w:rPr>
        <w:t> </w:t>
      </w:r>
      <w:r>
        <w:rPr/>
        <w:t>LEAN</w:t>
      </w:r>
      <w:r>
        <w:rPr>
          <w:spacing w:val="40"/>
        </w:rPr>
        <w:t> </w:t>
      </w:r>
      <w:r>
        <w:rPr/>
        <w:t>ANTÔNIO FERREIRA DE ARAÚJO, DESPACHOU, NO DIA 10 DE FEVEREIRO DE 2025, OS SEGUINTES PROCESSOS:</w:t>
      </w:r>
    </w:p>
    <w:p>
      <w:pPr>
        <w:pStyle w:val="BodyText"/>
        <w:spacing w:before="10"/>
      </w:pPr>
    </w:p>
    <w:p>
      <w:pPr>
        <w:spacing w:before="0"/>
        <w:ind w:left="92" w:right="0" w:firstLine="0"/>
        <w:jc w:val="both"/>
        <w:rPr>
          <w:sz w:val="18"/>
        </w:rPr>
      </w:pPr>
      <w:r>
        <w:rPr>
          <w:sz w:val="18"/>
        </w:rPr>
        <w:t>GED: 20.08.1296.0000241/2024-</w:t>
      </w:r>
      <w:r>
        <w:rPr>
          <w:spacing w:val="-5"/>
          <w:sz w:val="18"/>
        </w:rPr>
        <w:t>27</w:t>
      </w:r>
    </w:p>
    <w:p>
      <w:pPr>
        <w:pStyle w:val="BodyText"/>
        <w:spacing w:line="249" w:lineRule="auto" w:before="9"/>
        <w:ind w:left="92" w:right="5086"/>
        <w:jc w:val="both"/>
      </w:pPr>
      <w:r>
        <w:rPr/>
        <w:t>Interessado:</w:t>
      </w:r>
      <w:r>
        <w:rPr>
          <w:spacing w:val="-6"/>
        </w:rPr>
        <w:t> </w:t>
      </w:r>
      <w:r>
        <w:rPr/>
        <w:t>Coordenadoria</w:t>
      </w:r>
      <w:r>
        <w:rPr>
          <w:spacing w:val="-6"/>
        </w:rPr>
        <w:t> </w:t>
      </w:r>
      <w:r>
        <w:rPr/>
        <w:t>de</w:t>
      </w:r>
      <w:r>
        <w:rPr>
          <w:spacing w:val="-6"/>
        </w:rPr>
        <w:t> </w:t>
      </w:r>
      <w:r>
        <w:rPr/>
        <w:t>Contratos</w:t>
      </w:r>
      <w:r>
        <w:rPr>
          <w:spacing w:val="-6"/>
        </w:rPr>
        <w:t> </w:t>
      </w:r>
      <w:r>
        <w:rPr/>
        <w:t>e</w:t>
      </w:r>
      <w:r>
        <w:rPr>
          <w:spacing w:val="-6"/>
        </w:rPr>
        <w:t> </w:t>
      </w:r>
      <w:r>
        <w:rPr/>
        <w:t>Convênios</w:t>
      </w:r>
      <w:r>
        <w:rPr>
          <w:spacing w:val="-6"/>
        </w:rPr>
        <w:t> </w:t>
      </w:r>
      <w:r>
        <w:rPr/>
        <w:t>desta</w:t>
      </w:r>
      <w:r>
        <w:rPr>
          <w:spacing w:val="-6"/>
        </w:rPr>
        <w:t> </w:t>
      </w:r>
      <w:r>
        <w:rPr/>
        <w:t>PGJ. Assunto: Convênio – Cessão de servidor..</w:t>
      </w:r>
    </w:p>
    <w:p>
      <w:pPr>
        <w:pStyle w:val="BodyText"/>
        <w:spacing w:line="249" w:lineRule="auto" w:before="2"/>
        <w:ind w:left="92" w:right="86"/>
        <w:jc w:val="both"/>
      </w:pPr>
      <w:r>
        <w:rPr/>
        <w:t>Despacho: Acolho o parecer da Consultoria Jurídica com a seguinte ementa: "Administrativo. Contratos e Convênios. Pedido de Formalização de Acordo de Cooperação Técnica entre Município de Mata Grande e o Ministério Público de Alagoas. Aplicação do art. 184 da Lei nº 14.133/2021 e suas alterações. Ausência de ônus, conforme as disposições do art. 19 da Lei nº 6.774, de 21</w:t>
      </w:r>
      <w:r>
        <w:rPr>
          <w:spacing w:val="-1"/>
        </w:rPr>
        <w:t> </w:t>
      </w:r>
      <w:r>
        <w:rPr/>
        <w:t>de</w:t>
      </w:r>
      <w:r>
        <w:rPr>
          <w:spacing w:val="-1"/>
        </w:rPr>
        <w:t> </w:t>
      </w:r>
      <w:r>
        <w:rPr/>
        <w:t>novembro</w:t>
      </w:r>
      <w:r>
        <w:rPr>
          <w:spacing w:val="-1"/>
        </w:rPr>
        <w:t> </w:t>
      </w:r>
      <w:r>
        <w:rPr/>
        <w:t>de</w:t>
      </w:r>
      <w:r>
        <w:rPr>
          <w:spacing w:val="-1"/>
        </w:rPr>
        <w:t> </w:t>
      </w:r>
      <w:r>
        <w:rPr/>
        <w:t>2006.</w:t>
      </w:r>
      <w:r>
        <w:rPr>
          <w:spacing w:val="-1"/>
        </w:rPr>
        <w:t> </w:t>
      </w:r>
      <w:r>
        <w:rPr/>
        <w:t>O</w:t>
      </w:r>
      <w:r>
        <w:rPr>
          <w:spacing w:val="-1"/>
        </w:rPr>
        <w:t> </w:t>
      </w:r>
      <w:r>
        <w:rPr/>
        <w:t>Ministério</w:t>
      </w:r>
      <w:r>
        <w:rPr>
          <w:spacing w:val="-1"/>
        </w:rPr>
        <w:t> </w:t>
      </w:r>
      <w:r>
        <w:rPr/>
        <w:t>Público</w:t>
      </w:r>
      <w:r>
        <w:rPr>
          <w:spacing w:val="-1"/>
        </w:rPr>
        <w:t> </w:t>
      </w:r>
      <w:r>
        <w:rPr/>
        <w:t>do</w:t>
      </w:r>
      <w:r>
        <w:rPr>
          <w:spacing w:val="-1"/>
        </w:rPr>
        <w:t> </w:t>
      </w:r>
      <w:r>
        <w:rPr/>
        <w:t>Estado</w:t>
      </w:r>
      <w:r>
        <w:rPr>
          <w:spacing w:val="-1"/>
        </w:rPr>
        <w:t> </w:t>
      </w:r>
      <w:r>
        <w:rPr/>
        <w:t>de</w:t>
      </w:r>
      <w:r>
        <w:rPr>
          <w:spacing w:val="-1"/>
        </w:rPr>
        <w:t> </w:t>
      </w:r>
      <w:r>
        <w:rPr/>
        <w:t>Alagoas</w:t>
      </w:r>
      <w:r>
        <w:rPr>
          <w:spacing w:val="-1"/>
        </w:rPr>
        <w:t> </w:t>
      </w:r>
      <w:r>
        <w:rPr/>
        <w:t>não</w:t>
      </w:r>
      <w:r>
        <w:rPr>
          <w:spacing w:val="-1"/>
        </w:rPr>
        <w:t> </w:t>
      </w:r>
      <w:r>
        <w:rPr/>
        <w:t>receberá</w:t>
      </w:r>
      <w:r>
        <w:rPr>
          <w:spacing w:val="-1"/>
        </w:rPr>
        <w:t> </w:t>
      </w:r>
      <w:r>
        <w:rPr/>
        <w:t>servidores</w:t>
      </w:r>
      <w:r>
        <w:rPr>
          <w:spacing w:val="-1"/>
        </w:rPr>
        <w:t> </w:t>
      </w:r>
      <w:r>
        <w:rPr/>
        <w:t>cedidos,</w:t>
      </w:r>
      <w:r>
        <w:rPr>
          <w:spacing w:val="-1"/>
        </w:rPr>
        <w:t> </w:t>
      </w:r>
      <w:r>
        <w:rPr/>
        <w:t>salvo</w:t>
      </w:r>
      <w:r>
        <w:rPr>
          <w:spacing w:val="-1"/>
        </w:rPr>
        <w:t> </w:t>
      </w:r>
      <w:r>
        <w:rPr/>
        <w:t>para</w:t>
      </w:r>
      <w:r>
        <w:rPr>
          <w:spacing w:val="-1"/>
        </w:rPr>
        <w:t> </w:t>
      </w:r>
      <w:r>
        <w:rPr/>
        <w:t>o</w:t>
      </w:r>
      <w:r>
        <w:rPr>
          <w:spacing w:val="-1"/>
        </w:rPr>
        <w:t> </w:t>
      </w:r>
      <w:r>
        <w:rPr/>
        <w:t>exercício</w:t>
      </w:r>
      <w:r>
        <w:rPr>
          <w:spacing w:val="-1"/>
        </w:rPr>
        <w:t> </w:t>
      </w:r>
      <w:r>
        <w:rPr/>
        <w:t>do cargo em comissão ou sem ônus para a instituição. Possibilidade da pretensão açulada, aplicando-se o art. 74 caput combinado com o art. 184 da Lei 14.133/2021 e suas alterações." Defiro. Vão os autos à Coordenadoria de Contratos e Convênios para </w:t>
      </w:r>
      <w:r>
        <w:rPr>
          <w:spacing w:val="-2"/>
        </w:rPr>
        <w:t>providências.</w:t>
      </w:r>
    </w:p>
    <w:sectPr>
      <w:pgSz w:w="11900" w:h="16840"/>
      <w:pgMar w:header="799" w:footer="725" w:top="2540" w:bottom="9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5984">
              <wp:simplePos x="0" y="0"/>
              <wp:positionH relativeFrom="page">
                <wp:posOffset>431800</wp:posOffset>
              </wp:positionH>
              <wp:positionV relativeFrom="page">
                <wp:posOffset>10058400</wp:posOffset>
              </wp:positionV>
              <wp:extent cx="66929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0496"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66496">
              <wp:simplePos x="0" y="0"/>
              <wp:positionH relativeFrom="page">
                <wp:posOffset>1027683</wp:posOffset>
              </wp:positionH>
              <wp:positionV relativeFrom="page">
                <wp:posOffset>10080724</wp:posOffset>
              </wp:positionV>
              <wp:extent cx="5502275"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49984" type="#_x0000_t202" id="docshape3"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7008">
              <wp:simplePos x="0" y="0"/>
              <wp:positionH relativeFrom="page">
                <wp:posOffset>6919976</wp:posOffset>
              </wp:positionH>
              <wp:positionV relativeFrom="page">
                <wp:posOffset>10235530</wp:posOffset>
              </wp:positionV>
              <wp:extent cx="230504"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0504" cy="167640"/>
                      </a:xfrm>
                      <a:prstGeom prst="rect">
                        <a:avLst/>
                      </a:prstGeom>
                    </wps:spPr>
                    <wps:txbx>
                      <w:txbxContent>
                        <w:p>
                          <w:pPr>
                            <w:spacing w:before="13"/>
                            <w:ind w:left="6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14</w:t>
                          </w:r>
                          <w:r>
                            <w:rPr>
                              <w:rFonts w:ascii="Arial"/>
                              <w:b/>
                              <w:spacing w:val="-5"/>
                              <w:sz w:val="20"/>
                            </w:rPr>
                            <w:fldChar w:fldCharType="end"/>
                          </w:r>
                        </w:p>
                      </w:txbxContent>
                    </wps:txbx>
                    <wps:bodyPr wrap="square" lIns="0" tIns="0" rIns="0" bIns="0" rtlCol="0">
                      <a:noAutofit/>
                    </wps:bodyPr>
                  </wps:wsp>
                </a:graphicData>
              </a:graphic>
            </wp:anchor>
          </w:drawing>
        </mc:Choice>
        <mc:Fallback>
          <w:pict>
            <v:shape style="position:absolute;margin-left:544.880005pt;margin-top:805.947266pt;width:18.150pt;height:13.2pt;mso-position-horizontal-relative:page;mso-position-vertical-relative:page;z-index:-15849472" type="#_x0000_t202" id="docshape4" filled="false" stroked="false">
              <v:textbox inset="0,0,0,0">
                <w:txbxContent>
                  <w:p>
                    <w:pPr>
                      <w:spacing w:before="13"/>
                      <w:ind w:left="6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14</w:t>
                    </w:r>
                    <w:r>
                      <w:rPr>
                        <w:rFonts w:ascii="Arial"/>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63936">
          <wp:simplePos x="0" y="0"/>
          <wp:positionH relativeFrom="page">
            <wp:posOffset>456451</wp:posOffset>
          </wp:positionH>
          <wp:positionV relativeFrom="page">
            <wp:posOffset>507626</wp:posOffset>
          </wp:positionV>
          <wp:extent cx="6655922" cy="78273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4448">
              <wp:simplePos x="0" y="0"/>
              <wp:positionH relativeFrom="page">
                <wp:posOffset>431800</wp:posOffset>
              </wp:positionH>
              <wp:positionV relativeFrom="page">
                <wp:posOffset>1613280</wp:posOffset>
              </wp:positionV>
              <wp:extent cx="66929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2032"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64960">
              <wp:simplePos x="0" y="0"/>
              <wp:positionH relativeFrom="page">
                <wp:posOffset>419100</wp:posOffset>
              </wp:positionH>
              <wp:positionV relativeFrom="page">
                <wp:posOffset>1370108</wp:posOffset>
              </wp:positionV>
              <wp:extent cx="253555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35555" cy="153670"/>
                      </a:xfrm>
                      <a:prstGeom prst="rect">
                        <a:avLst/>
                      </a:prstGeom>
                    </wps:spPr>
                    <wps:txbx>
                      <w:txbxContent>
                        <w:p>
                          <w:pPr>
                            <w:pStyle w:val="BodyText"/>
                            <w:spacing w:before="14"/>
                            <w:ind w:left="20"/>
                          </w:pPr>
                          <w:r>
                            <w:rPr/>
                            <w:t>Data de disponibilização: 11 de fevereiro de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pt;margin-top:107.882538pt;width:199.65pt;height:12.1pt;mso-position-horizontal-relative:page;mso-position-vertical-relative:page;z-index:-15851520" type="#_x0000_t202" id="docshape1" filled="false" stroked="false">
              <v:textbox inset="0,0,0,0">
                <w:txbxContent>
                  <w:p>
                    <w:pPr>
                      <w:pStyle w:val="BodyText"/>
                      <w:spacing w:before="14"/>
                      <w:ind w:left="20"/>
                    </w:pPr>
                    <w:r>
                      <w:rPr/>
                      <w:t>Data de disponibilização: 11 de fevereiro de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5472">
              <wp:simplePos x="0" y="0"/>
              <wp:positionH relativeFrom="page">
                <wp:posOffset>6339957</wp:posOffset>
              </wp:positionH>
              <wp:positionV relativeFrom="page">
                <wp:posOffset>1370108</wp:posOffset>
              </wp:positionV>
              <wp:extent cx="79819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98195" cy="153670"/>
                      </a:xfrm>
                      <a:prstGeom prst="rect">
                        <a:avLst/>
                      </a:prstGeom>
                    </wps:spPr>
                    <wps:txbx>
                      <w:txbxContent>
                        <w:p>
                          <w:pPr>
                            <w:pStyle w:val="BodyText"/>
                            <w:spacing w:before="14"/>
                            <w:ind w:left="20"/>
                          </w:pPr>
                          <w:r>
                            <w:rPr/>
                            <w:t>Edição nº </w:t>
                          </w:r>
                          <w:r>
                            <w:rPr>
                              <w:spacing w:val="-4"/>
                            </w:rPr>
                            <w:t>1308</w:t>
                          </w:r>
                        </w:p>
                      </w:txbxContent>
                    </wps:txbx>
                    <wps:bodyPr wrap="square" lIns="0" tIns="0" rIns="0" bIns="0" rtlCol="0">
                      <a:noAutofit/>
                    </wps:bodyPr>
                  </wps:wsp>
                </a:graphicData>
              </a:graphic>
            </wp:anchor>
          </w:drawing>
        </mc:Choice>
        <mc:Fallback>
          <w:pict>
            <v:shape style="position:absolute;margin-left:499.209229pt;margin-top:107.882538pt;width:62.85pt;height:12.1pt;mso-position-horizontal-relative:page;mso-position-vertical-relative:page;z-index:-15851008" type="#_x0000_t202" id="docshape2" filled="false" stroked="false">
              <v:textbox inset="0,0,0,0">
                <w:txbxContent>
                  <w:p>
                    <w:pPr>
                      <w:pStyle w:val="BodyText"/>
                      <w:spacing w:before="14"/>
                      <w:ind w:left="20"/>
                    </w:pPr>
                    <w:r>
                      <w:rPr/>
                      <w:t>Edição nº </w:t>
                    </w:r>
                    <w:r>
                      <w:rPr>
                        <w:spacing w:val="-4"/>
                      </w:rPr>
                      <w:t>1308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abstractNum w:abstractNumId="6">
    <w:multiLevelType w:val="hybridMultilevel"/>
    <w:lvl w:ilvl="0">
      <w:start w:val="1"/>
      <w:numFmt w:val="upperRoman"/>
      <w:lvlText w:val="%1"/>
      <w:lvlJc w:val="left"/>
      <w:pPr>
        <w:ind w:left="92" w:hanging="105"/>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138" w:hanging="105"/>
      </w:pPr>
      <w:rPr>
        <w:rFonts w:hint="default"/>
        <w:lang w:val="pt-PT" w:eastAsia="en-US" w:bidi="ar-SA"/>
      </w:rPr>
    </w:lvl>
    <w:lvl w:ilvl="2">
      <w:start w:val="0"/>
      <w:numFmt w:val="bullet"/>
      <w:lvlText w:val="•"/>
      <w:lvlJc w:val="left"/>
      <w:pPr>
        <w:ind w:left="2176" w:hanging="105"/>
      </w:pPr>
      <w:rPr>
        <w:rFonts w:hint="default"/>
        <w:lang w:val="pt-PT" w:eastAsia="en-US" w:bidi="ar-SA"/>
      </w:rPr>
    </w:lvl>
    <w:lvl w:ilvl="3">
      <w:start w:val="0"/>
      <w:numFmt w:val="bullet"/>
      <w:lvlText w:val="•"/>
      <w:lvlJc w:val="left"/>
      <w:pPr>
        <w:ind w:left="3215" w:hanging="105"/>
      </w:pPr>
      <w:rPr>
        <w:rFonts w:hint="default"/>
        <w:lang w:val="pt-PT" w:eastAsia="en-US" w:bidi="ar-SA"/>
      </w:rPr>
    </w:lvl>
    <w:lvl w:ilvl="4">
      <w:start w:val="0"/>
      <w:numFmt w:val="bullet"/>
      <w:lvlText w:val="•"/>
      <w:lvlJc w:val="left"/>
      <w:pPr>
        <w:ind w:left="4253" w:hanging="105"/>
      </w:pPr>
      <w:rPr>
        <w:rFonts w:hint="default"/>
        <w:lang w:val="pt-PT" w:eastAsia="en-US" w:bidi="ar-SA"/>
      </w:rPr>
    </w:lvl>
    <w:lvl w:ilvl="5">
      <w:start w:val="0"/>
      <w:numFmt w:val="bullet"/>
      <w:lvlText w:val="•"/>
      <w:lvlJc w:val="left"/>
      <w:pPr>
        <w:ind w:left="5292" w:hanging="105"/>
      </w:pPr>
      <w:rPr>
        <w:rFonts w:hint="default"/>
        <w:lang w:val="pt-PT" w:eastAsia="en-US" w:bidi="ar-SA"/>
      </w:rPr>
    </w:lvl>
    <w:lvl w:ilvl="6">
      <w:start w:val="0"/>
      <w:numFmt w:val="bullet"/>
      <w:lvlText w:val="•"/>
      <w:lvlJc w:val="left"/>
      <w:pPr>
        <w:ind w:left="6330" w:hanging="105"/>
      </w:pPr>
      <w:rPr>
        <w:rFonts w:hint="default"/>
        <w:lang w:val="pt-PT" w:eastAsia="en-US" w:bidi="ar-SA"/>
      </w:rPr>
    </w:lvl>
    <w:lvl w:ilvl="7">
      <w:start w:val="0"/>
      <w:numFmt w:val="bullet"/>
      <w:lvlText w:val="•"/>
      <w:lvlJc w:val="left"/>
      <w:pPr>
        <w:ind w:left="7368" w:hanging="105"/>
      </w:pPr>
      <w:rPr>
        <w:rFonts w:hint="default"/>
        <w:lang w:val="pt-PT" w:eastAsia="en-US" w:bidi="ar-SA"/>
      </w:rPr>
    </w:lvl>
    <w:lvl w:ilvl="8">
      <w:start w:val="0"/>
      <w:numFmt w:val="bullet"/>
      <w:lvlText w:val="•"/>
      <w:lvlJc w:val="left"/>
      <w:pPr>
        <w:ind w:left="8407" w:hanging="105"/>
      </w:pPr>
      <w:rPr>
        <w:rFonts w:hint="default"/>
        <w:lang w:val="pt-PT" w:eastAsia="en-US" w:bidi="ar-SA"/>
      </w:rPr>
    </w:lvl>
  </w:abstractNum>
  <w:abstractNum w:abstractNumId="5">
    <w:multiLevelType w:val="hybridMultilevel"/>
    <w:lvl w:ilvl="0">
      <w:start w:val="4"/>
      <w:numFmt w:val="upperRoman"/>
      <w:lvlText w:val="%1-"/>
      <w:lvlJc w:val="left"/>
      <w:pPr>
        <w:ind w:left="372" w:hanging="28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90" w:hanging="281"/>
      </w:pPr>
      <w:rPr>
        <w:rFonts w:hint="default"/>
        <w:lang w:val="pt-PT" w:eastAsia="en-US" w:bidi="ar-SA"/>
      </w:rPr>
    </w:lvl>
    <w:lvl w:ilvl="2">
      <w:start w:val="0"/>
      <w:numFmt w:val="bullet"/>
      <w:lvlText w:val="•"/>
      <w:lvlJc w:val="left"/>
      <w:pPr>
        <w:ind w:left="2400" w:hanging="281"/>
      </w:pPr>
      <w:rPr>
        <w:rFonts w:hint="default"/>
        <w:lang w:val="pt-PT" w:eastAsia="en-US" w:bidi="ar-SA"/>
      </w:rPr>
    </w:lvl>
    <w:lvl w:ilvl="3">
      <w:start w:val="0"/>
      <w:numFmt w:val="bullet"/>
      <w:lvlText w:val="•"/>
      <w:lvlJc w:val="left"/>
      <w:pPr>
        <w:ind w:left="3411" w:hanging="281"/>
      </w:pPr>
      <w:rPr>
        <w:rFonts w:hint="default"/>
        <w:lang w:val="pt-PT" w:eastAsia="en-US" w:bidi="ar-SA"/>
      </w:rPr>
    </w:lvl>
    <w:lvl w:ilvl="4">
      <w:start w:val="0"/>
      <w:numFmt w:val="bullet"/>
      <w:lvlText w:val="•"/>
      <w:lvlJc w:val="left"/>
      <w:pPr>
        <w:ind w:left="4421" w:hanging="281"/>
      </w:pPr>
      <w:rPr>
        <w:rFonts w:hint="default"/>
        <w:lang w:val="pt-PT" w:eastAsia="en-US" w:bidi="ar-SA"/>
      </w:rPr>
    </w:lvl>
    <w:lvl w:ilvl="5">
      <w:start w:val="0"/>
      <w:numFmt w:val="bullet"/>
      <w:lvlText w:val="•"/>
      <w:lvlJc w:val="left"/>
      <w:pPr>
        <w:ind w:left="5432" w:hanging="281"/>
      </w:pPr>
      <w:rPr>
        <w:rFonts w:hint="default"/>
        <w:lang w:val="pt-PT" w:eastAsia="en-US" w:bidi="ar-SA"/>
      </w:rPr>
    </w:lvl>
    <w:lvl w:ilvl="6">
      <w:start w:val="0"/>
      <w:numFmt w:val="bullet"/>
      <w:lvlText w:val="•"/>
      <w:lvlJc w:val="left"/>
      <w:pPr>
        <w:ind w:left="6442" w:hanging="281"/>
      </w:pPr>
      <w:rPr>
        <w:rFonts w:hint="default"/>
        <w:lang w:val="pt-PT" w:eastAsia="en-US" w:bidi="ar-SA"/>
      </w:rPr>
    </w:lvl>
    <w:lvl w:ilvl="7">
      <w:start w:val="0"/>
      <w:numFmt w:val="bullet"/>
      <w:lvlText w:val="•"/>
      <w:lvlJc w:val="left"/>
      <w:pPr>
        <w:ind w:left="7452" w:hanging="281"/>
      </w:pPr>
      <w:rPr>
        <w:rFonts w:hint="default"/>
        <w:lang w:val="pt-PT" w:eastAsia="en-US" w:bidi="ar-SA"/>
      </w:rPr>
    </w:lvl>
    <w:lvl w:ilvl="8">
      <w:start w:val="0"/>
      <w:numFmt w:val="bullet"/>
      <w:lvlText w:val="•"/>
      <w:lvlJc w:val="left"/>
      <w:pPr>
        <w:ind w:left="8463" w:hanging="281"/>
      </w:pPr>
      <w:rPr>
        <w:rFonts w:hint="default"/>
        <w:lang w:val="pt-PT" w:eastAsia="en-US" w:bidi="ar-SA"/>
      </w:rPr>
    </w:lvl>
  </w:abstractNum>
  <w:abstractNum w:abstractNumId="4">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abstractNum w:abstractNumId="3">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abstractNum w:abstractNumId="2">
    <w:multiLevelType w:val="hybridMultilevel"/>
    <w:lvl w:ilvl="0">
      <w:start w:val="1"/>
      <w:numFmt w:val="upperRoman"/>
      <w:lvlText w:val="%1"/>
      <w:lvlJc w:val="left"/>
      <w:pPr>
        <w:ind w:left="92" w:hanging="107"/>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92" w:hanging="215"/>
        <w:jc w:val="left"/>
      </w:pPr>
      <w:rPr>
        <w:rFonts w:hint="default" w:ascii="Arial MT" w:hAnsi="Arial MT" w:eastAsia="Arial MT" w:cs="Arial MT"/>
        <w:b w:val="0"/>
        <w:bCs w:val="0"/>
        <w:i w:val="0"/>
        <w:iCs w:val="0"/>
        <w:spacing w:val="0"/>
        <w:w w:val="100"/>
        <w:sz w:val="18"/>
        <w:szCs w:val="18"/>
        <w:lang w:val="pt-PT" w:eastAsia="en-US" w:bidi="ar-SA"/>
      </w:rPr>
    </w:lvl>
    <w:lvl w:ilvl="2">
      <w:start w:val="1"/>
      <w:numFmt w:val="upperRoman"/>
      <w:lvlText w:val="%3"/>
      <w:lvlJc w:val="left"/>
      <w:pPr>
        <w:ind w:left="92" w:hanging="106"/>
        <w:jc w:val="left"/>
      </w:pPr>
      <w:rPr>
        <w:rFonts w:hint="default" w:ascii="Arial MT" w:hAnsi="Arial MT" w:eastAsia="Arial MT" w:cs="Arial MT"/>
        <w:b w:val="0"/>
        <w:bCs w:val="0"/>
        <w:i w:val="0"/>
        <w:iCs w:val="0"/>
        <w:spacing w:val="0"/>
        <w:w w:val="100"/>
        <w:sz w:val="18"/>
        <w:szCs w:val="18"/>
        <w:lang w:val="pt-PT" w:eastAsia="en-US" w:bidi="ar-SA"/>
      </w:rPr>
    </w:lvl>
    <w:lvl w:ilvl="3">
      <w:start w:val="0"/>
      <w:numFmt w:val="bullet"/>
      <w:lvlText w:val="•"/>
      <w:lvlJc w:val="left"/>
      <w:pPr>
        <w:ind w:left="3215" w:hanging="106"/>
      </w:pPr>
      <w:rPr>
        <w:rFonts w:hint="default"/>
        <w:lang w:val="pt-PT" w:eastAsia="en-US" w:bidi="ar-SA"/>
      </w:rPr>
    </w:lvl>
    <w:lvl w:ilvl="4">
      <w:start w:val="0"/>
      <w:numFmt w:val="bullet"/>
      <w:lvlText w:val="•"/>
      <w:lvlJc w:val="left"/>
      <w:pPr>
        <w:ind w:left="4253" w:hanging="106"/>
      </w:pPr>
      <w:rPr>
        <w:rFonts w:hint="default"/>
        <w:lang w:val="pt-PT" w:eastAsia="en-US" w:bidi="ar-SA"/>
      </w:rPr>
    </w:lvl>
    <w:lvl w:ilvl="5">
      <w:start w:val="0"/>
      <w:numFmt w:val="bullet"/>
      <w:lvlText w:val="•"/>
      <w:lvlJc w:val="left"/>
      <w:pPr>
        <w:ind w:left="5292" w:hanging="106"/>
      </w:pPr>
      <w:rPr>
        <w:rFonts w:hint="default"/>
        <w:lang w:val="pt-PT" w:eastAsia="en-US" w:bidi="ar-SA"/>
      </w:rPr>
    </w:lvl>
    <w:lvl w:ilvl="6">
      <w:start w:val="0"/>
      <w:numFmt w:val="bullet"/>
      <w:lvlText w:val="•"/>
      <w:lvlJc w:val="left"/>
      <w:pPr>
        <w:ind w:left="6330" w:hanging="106"/>
      </w:pPr>
      <w:rPr>
        <w:rFonts w:hint="default"/>
        <w:lang w:val="pt-PT" w:eastAsia="en-US" w:bidi="ar-SA"/>
      </w:rPr>
    </w:lvl>
    <w:lvl w:ilvl="7">
      <w:start w:val="0"/>
      <w:numFmt w:val="bullet"/>
      <w:lvlText w:val="•"/>
      <w:lvlJc w:val="left"/>
      <w:pPr>
        <w:ind w:left="7368" w:hanging="106"/>
      </w:pPr>
      <w:rPr>
        <w:rFonts w:hint="default"/>
        <w:lang w:val="pt-PT" w:eastAsia="en-US" w:bidi="ar-SA"/>
      </w:rPr>
    </w:lvl>
    <w:lvl w:ilvl="8">
      <w:start w:val="0"/>
      <w:numFmt w:val="bullet"/>
      <w:lvlText w:val="•"/>
      <w:lvlJc w:val="left"/>
      <w:pPr>
        <w:ind w:left="8407" w:hanging="106"/>
      </w:pPr>
      <w:rPr>
        <w:rFonts w:hint="default"/>
        <w:lang w:val="pt-PT" w:eastAsia="en-US" w:bidi="ar-SA"/>
      </w:rPr>
    </w:lvl>
  </w:abstractNum>
  <w:abstractNum w:abstractNumId="1">
    <w:multiLevelType w:val="hybridMultilevel"/>
    <w:lvl w:ilvl="0">
      <w:start w:val="1"/>
      <w:numFmt w:val="upperRoman"/>
      <w:lvlText w:val="%1"/>
      <w:lvlJc w:val="left"/>
      <w:pPr>
        <w:ind w:left="192"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28" w:hanging="101"/>
      </w:pPr>
      <w:rPr>
        <w:rFonts w:hint="default"/>
        <w:lang w:val="pt-PT" w:eastAsia="en-US" w:bidi="ar-SA"/>
      </w:rPr>
    </w:lvl>
    <w:lvl w:ilvl="2">
      <w:start w:val="0"/>
      <w:numFmt w:val="bullet"/>
      <w:lvlText w:val="•"/>
      <w:lvlJc w:val="left"/>
      <w:pPr>
        <w:ind w:left="2256" w:hanging="101"/>
      </w:pPr>
      <w:rPr>
        <w:rFonts w:hint="default"/>
        <w:lang w:val="pt-PT" w:eastAsia="en-US" w:bidi="ar-SA"/>
      </w:rPr>
    </w:lvl>
    <w:lvl w:ilvl="3">
      <w:start w:val="0"/>
      <w:numFmt w:val="bullet"/>
      <w:lvlText w:val="•"/>
      <w:lvlJc w:val="left"/>
      <w:pPr>
        <w:ind w:left="3285" w:hanging="101"/>
      </w:pPr>
      <w:rPr>
        <w:rFonts w:hint="default"/>
        <w:lang w:val="pt-PT" w:eastAsia="en-US" w:bidi="ar-SA"/>
      </w:rPr>
    </w:lvl>
    <w:lvl w:ilvl="4">
      <w:start w:val="0"/>
      <w:numFmt w:val="bullet"/>
      <w:lvlText w:val="•"/>
      <w:lvlJc w:val="left"/>
      <w:pPr>
        <w:ind w:left="4313" w:hanging="101"/>
      </w:pPr>
      <w:rPr>
        <w:rFonts w:hint="default"/>
        <w:lang w:val="pt-PT" w:eastAsia="en-US" w:bidi="ar-SA"/>
      </w:rPr>
    </w:lvl>
    <w:lvl w:ilvl="5">
      <w:start w:val="0"/>
      <w:numFmt w:val="bullet"/>
      <w:lvlText w:val="•"/>
      <w:lvlJc w:val="left"/>
      <w:pPr>
        <w:ind w:left="5342" w:hanging="101"/>
      </w:pPr>
      <w:rPr>
        <w:rFonts w:hint="default"/>
        <w:lang w:val="pt-PT" w:eastAsia="en-US" w:bidi="ar-SA"/>
      </w:rPr>
    </w:lvl>
    <w:lvl w:ilvl="6">
      <w:start w:val="0"/>
      <w:numFmt w:val="bullet"/>
      <w:lvlText w:val="•"/>
      <w:lvlJc w:val="left"/>
      <w:pPr>
        <w:ind w:left="6370" w:hanging="101"/>
      </w:pPr>
      <w:rPr>
        <w:rFonts w:hint="default"/>
        <w:lang w:val="pt-PT" w:eastAsia="en-US" w:bidi="ar-SA"/>
      </w:rPr>
    </w:lvl>
    <w:lvl w:ilvl="7">
      <w:start w:val="0"/>
      <w:numFmt w:val="bullet"/>
      <w:lvlText w:val="•"/>
      <w:lvlJc w:val="left"/>
      <w:pPr>
        <w:ind w:left="7398" w:hanging="101"/>
      </w:pPr>
      <w:rPr>
        <w:rFonts w:hint="default"/>
        <w:lang w:val="pt-PT" w:eastAsia="en-US" w:bidi="ar-SA"/>
      </w:rPr>
    </w:lvl>
    <w:lvl w:ilvl="8">
      <w:start w:val="0"/>
      <w:numFmt w:val="bullet"/>
      <w:lvlText w:val="•"/>
      <w:lvlJc w:val="left"/>
      <w:pPr>
        <w:ind w:left="8427" w:hanging="101"/>
      </w:pPr>
      <w:rPr>
        <w:rFonts w:hint="default"/>
        <w:lang w:val="pt-PT" w:eastAsia="en-US" w:bidi="ar-SA"/>
      </w:rPr>
    </w:lvl>
  </w:abstractNum>
  <w:abstractNum w:abstractNumId="0">
    <w:multiLevelType w:val="hybridMultilevel"/>
    <w:lvl w:ilvl="0">
      <w:start w:val="1"/>
      <w:numFmt w:val="upperRoman"/>
      <w:lvlText w:val="%1"/>
      <w:lvlJc w:val="left"/>
      <w:pPr>
        <w:ind w:left="92" w:hanging="108"/>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138" w:hanging="108"/>
      </w:pPr>
      <w:rPr>
        <w:rFonts w:hint="default"/>
        <w:lang w:val="pt-PT" w:eastAsia="en-US" w:bidi="ar-SA"/>
      </w:rPr>
    </w:lvl>
    <w:lvl w:ilvl="2">
      <w:start w:val="0"/>
      <w:numFmt w:val="bullet"/>
      <w:lvlText w:val="•"/>
      <w:lvlJc w:val="left"/>
      <w:pPr>
        <w:ind w:left="2176" w:hanging="108"/>
      </w:pPr>
      <w:rPr>
        <w:rFonts w:hint="default"/>
        <w:lang w:val="pt-PT" w:eastAsia="en-US" w:bidi="ar-SA"/>
      </w:rPr>
    </w:lvl>
    <w:lvl w:ilvl="3">
      <w:start w:val="0"/>
      <w:numFmt w:val="bullet"/>
      <w:lvlText w:val="•"/>
      <w:lvlJc w:val="left"/>
      <w:pPr>
        <w:ind w:left="3215" w:hanging="108"/>
      </w:pPr>
      <w:rPr>
        <w:rFonts w:hint="default"/>
        <w:lang w:val="pt-PT" w:eastAsia="en-US" w:bidi="ar-SA"/>
      </w:rPr>
    </w:lvl>
    <w:lvl w:ilvl="4">
      <w:start w:val="0"/>
      <w:numFmt w:val="bullet"/>
      <w:lvlText w:val="•"/>
      <w:lvlJc w:val="left"/>
      <w:pPr>
        <w:ind w:left="4253" w:hanging="108"/>
      </w:pPr>
      <w:rPr>
        <w:rFonts w:hint="default"/>
        <w:lang w:val="pt-PT" w:eastAsia="en-US" w:bidi="ar-SA"/>
      </w:rPr>
    </w:lvl>
    <w:lvl w:ilvl="5">
      <w:start w:val="0"/>
      <w:numFmt w:val="bullet"/>
      <w:lvlText w:val="•"/>
      <w:lvlJc w:val="left"/>
      <w:pPr>
        <w:ind w:left="5292" w:hanging="108"/>
      </w:pPr>
      <w:rPr>
        <w:rFonts w:hint="default"/>
        <w:lang w:val="pt-PT" w:eastAsia="en-US" w:bidi="ar-SA"/>
      </w:rPr>
    </w:lvl>
    <w:lvl w:ilvl="6">
      <w:start w:val="0"/>
      <w:numFmt w:val="bullet"/>
      <w:lvlText w:val="•"/>
      <w:lvlJc w:val="left"/>
      <w:pPr>
        <w:ind w:left="6330" w:hanging="108"/>
      </w:pPr>
      <w:rPr>
        <w:rFonts w:hint="default"/>
        <w:lang w:val="pt-PT" w:eastAsia="en-US" w:bidi="ar-SA"/>
      </w:rPr>
    </w:lvl>
    <w:lvl w:ilvl="7">
      <w:start w:val="0"/>
      <w:numFmt w:val="bullet"/>
      <w:lvlText w:val="•"/>
      <w:lvlJc w:val="left"/>
      <w:pPr>
        <w:ind w:left="7368" w:hanging="108"/>
      </w:pPr>
      <w:rPr>
        <w:rFonts w:hint="default"/>
        <w:lang w:val="pt-PT" w:eastAsia="en-US" w:bidi="ar-SA"/>
      </w:rPr>
    </w:lvl>
    <w:lvl w:ilvl="8">
      <w:start w:val="0"/>
      <w:numFmt w:val="bullet"/>
      <w:lvlText w:val="•"/>
      <w:lvlJc w:val="left"/>
      <w:pPr>
        <w:ind w:left="8407" w:hanging="108"/>
      </w:pPr>
      <w:rPr>
        <w:rFonts w:hint="default"/>
        <w:lang w:val="pt-PT"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Heading1" w:type="paragraph">
    <w:name w:val="Heading 1"/>
    <w:basedOn w:val="Normal"/>
    <w:uiPriority w:val="1"/>
    <w:qFormat/>
    <w:pPr>
      <w:ind w:left="92"/>
      <w:outlineLvl w:val="1"/>
    </w:pPr>
    <w:rPr>
      <w:rFonts w:ascii="Arial MT" w:hAnsi="Arial MT" w:eastAsia="Arial MT" w:cs="Arial MT"/>
      <w:sz w:val="18"/>
      <w:szCs w:val="18"/>
      <w:lang w:val="pt-PT" w:eastAsia="en-US" w:bidi="ar-SA"/>
    </w:rPr>
  </w:style>
  <w:style w:styleId="Title" w:type="paragraph">
    <w:name w:val="Title"/>
    <w:basedOn w:val="Normal"/>
    <w:uiPriority w:val="1"/>
    <w:qFormat/>
    <w:pPr>
      <w:spacing w:before="13"/>
      <w:ind w:left="60"/>
    </w:pPr>
    <w:rPr>
      <w:rFonts w:ascii="Arial" w:hAnsi="Arial" w:eastAsia="Arial" w:cs="Arial"/>
      <w:b/>
      <w:bCs/>
      <w:sz w:val="20"/>
      <w:szCs w:val="20"/>
      <w:lang w:val="pt-PT" w:eastAsia="en-US" w:bidi="ar-SA"/>
    </w:rPr>
  </w:style>
  <w:style w:styleId="ListParagraph" w:type="paragraph">
    <w:name w:val="List Paragraph"/>
    <w:basedOn w:val="Normal"/>
    <w:uiPriority w:val="1"/>
    <w:qFormat/>
    <w:pPr>
      <w:ind w:left="92"/>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2025-07-18T12:40:07Z</dcterms:created>
  <dcterms:modified xsi:type="dcterms:W3CDTF">2025-07-18T12:40:07Z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2025-07-09T00:00:00Z</vt:filetime>
  </property>
</Properties>
</file>