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16" cy="7862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9538" w:val="left" w:leader="none"/>
        </w:tabs>
        <w:spacing w:before="143"/>
        <w:ind w:left="113"/>
      </w:pPr>
      <w:r>
        <w:rPr/>
        <w:t>Data de disponibilização: 23 de maio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895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103000</wp:posOffset>
                </wp:positionV>
                <wp:extent cx="66929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10282pt;width:527pt;height:.1pt;mso-position-horizontal-relative:page;mso-position-vertical-relative:paragraph;z-index:-15728640;mso-wrap-distance-left:0;mso-wrap-distance-right:0" id="docshape4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 w:righ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 w:right="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16192" id="docshapegroup5" coordorigin="0,-520" coordsize="10323,1508">
                      <v:shape style="position:absolute;left:0;top:-513;width:10315;height:1493" id="docshape6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 w:right="0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 w:right="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 w:right="0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left="5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Antiógenes Marques de </w:t>
            </w:r>
            <w:r>
              <w:rPr>
                <w:spacing w:val="-4"/>
                <w:sz w:val="15"/>
              </w:rPr>
              <w:t>Lira</w:t>
            </w:r>
          </w:p>
        </w:tc>
        <w:tc>
          <w:tcPr>
            <w:tcW w:w="3572" w:type="dxa"/>
          </w:tcPr>
          <w:p>
            <w:pPr>
              <w:pStyle w:val="TableParagraph"/>
              <w:ind w:left="50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572" w:type="dxa"/>
          </w:tcPr>
          <w:p>
            <w:pPr>
              <w:pStyle w:val="TableParagraph"/>
              <w:ind w:left="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26" w:right="699" w:firstLine="387"/>
              <w:jc w:val="left"/>
              <w:rPr>
                <w:sz w:val="15"/>
              </w:rPr>
            </w:pPr>
            <w:r>
              <w:rPr>
                <w:sz w:val="15"/>
              </w:rPr>
              <w:t>Isaac Sandes Dias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51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8128;mso-wrap-distance-left:0;mso-wrap-distance-right:0" id="docshape7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616;mso-wrap-distance-left:0;mso-wrap-distance-right:0" id="docshape8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07/2023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Revoga os atos PGJ nºs 12/2020 e </w:t>
      </w:r>
      <w:r>
        <w:rPr>
          <w:spacing w:val="-2"/>
        </w:rPr>
        <w:t>22/2020.</w:t>
      </w:r>
    </w:p>
    <w:p>
      <w:pPr>
        <w:pStyle w:val="BodyText"/>
        <w:spacing w:before="18"/>
      </w:pPr>
    </w:p>
    <w:p>
      <w:pPr>
        <w:pStyle w:val="BodyText"/>
        <w:spacing w:line="501" w:lineRule="auto"/>
        <w:ind w:left="234"/>
      </w:pPr>
      <w:r>
        <w:rPr/>
        <w:t>O</w:t>
      </w:r>
      <w:r>
        <w:rPr>
          <w:spacing w:val="-3"/>
        </w:rPr>
        <w:t> </w:t>
      </w:r>
      <w:r>
        <w:rPr/>
        <w:t>PROCURADOR-GERAL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uso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atribuições</w:t>
      </w:r>
      <w:r>
        <w:rPr>
          <w:spacing w:val="-3"/>
        </w:rPr>
        <w:t> </w:t>
      </w:r>
      <w:r>
        <w:rPr/>
        <w:t>previstas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9°,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V,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Complementar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15/1996; </w:t>
      </w:r>
      <w:r>
        <w:rPr>
          <w:spacing w:val="-2"/>
        </w:rPr>
        <w:t>RESOLVE:</w:t>
      </w:r>
    </w:p>
    <w:p>
      <w:pPr>
        <w:pStyle w:val="BodyText"/>
        <w:spacing w:line="501" w:lineRule="auto"/>
        <w:ind w:left="234" w:right="5379"/>
      </w:pPr>
      <w:r>
        <w:rPr/>
        <w:t>Art.</w:t>
      </w:r>
      <w:r>
        <w:rPr>
          <w:spacing w:val="-4"/>
        </w:rPr>
        <w:t> </w:t>
      </w:r>
      <w:r>
        <w:rPr/>
        <w:t>1º.</w:t>
      </w:r>
      <w:r>
        <w:rPr>
          <w:spacing w:val="-4"/>
        </w:rPr>
        <w:t> </w:t>
      </w:r>
      <w:r>
        <w:rPr/>
        <w:t>Ficam</w:t>
      </w:r>
      <w:r>
        <w:rPr>
          <w:spacing w:val="-4"/>
        </w:rPr>
        <w:t> </w:t>
      </w:r>
      <w:r>
        <w:rPr/>
        <w:t>revogados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Atos</w:t>
      </w:r>
      <w:r>
        <w:rPr>
          <w:spacing w:val="-4"/>
        </w:rPr>
        <w:t> </w:t>
      </w:r>
      <w:r>
        <w:rPr/>
        <w:t>PGJ</w:t>
      </w:r>
      <w:r>
        <w:rPr>
          <w:spacing w:val="-4"/>
        </w:rPr>
        <w:t> </w:t>
      </w:r>
      <w:r>
        <w:rPr/>
        <w:t>nºs</w:t>
      </w:r>
      <w:r>
        <w:rPr>
          <w:spacing w:val="-4"/>
        </w:rPr>
        <w:t> </w:t>
      </w:r>
      <w:r>
        <w:rPr/>
        <w:t>12/2020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22/2020. Art. 2º Este ato entra em vigor na data de sua publicação.</w:t>
      </w:r>
    </w:p>
    <w:p>
      <w:pPr>
        <w:pStyle w:val="BodyText"/>
        <w:spacing w:line="206" w:lineRule="exact"/>
        <w:ind w:left="234"/>
      </w:pPr>
      <w:r>
        <w:rPr/>
        <w:t>Gabinete do Procurador-Geral de Justiça, em Maceió, 22 de maio de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234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  <w:spacing w:before="18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2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40"/>
        </w:rPr>
        <w:t> </w:t>
      </w:r>
      <w:r>
        <w:rPr>
          <w:spacing w:val="12"/>
        </w:rPr>
        <w:t>PROCURADOR-</w:t>
      </w:r>
      <w:r>
        <w:rPr>
          <w:spacing w:val="9"/>
        </w:rPr>
        <w:t>GERAL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JUSTIÇA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0"/>
        </w:rPr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10"/>
        </w:rPr>
        <w:t>ALAGOAS,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>
          <w:spacing w:val="10"/>
        </w:rPr>
        <w:t>MÁRCIO</w:t>
      </w:r>
      <w:r>
        <w:rPr>
          <w:spacing w:val="40"/>
        </w:rPr>
        <w:t> </w:t>
      </w:r>
      <w:r>
        <w:rPr>
          <w:spacing w:val="10"/>
        </w:rPr>
        <w:t>ROBERTO</w:t>
      </w:r>
      <w:r>
        <w:rPr>
          <w:spacing w:val="40"/>
        </w:rPr>
        <w:t> </w:t>
      </w:r>
      <w:r>
        <w:rPr>
          <w:spacing w:val="10"/>
        </w:rPr>
        <w:t>TENÓRIO</w:t>
      </w:r>
      <w:r>
        <w:rPr>
          <w:spacing w:val="40"/>
        </w:rPr>
        <w:t> </w:t>
      </w:r>
      <w:r>
        <w:rPr>
          <w:spacing w:val="12"/>
        </w:rPr>
        <w:t>DE</w:t>
      </w:r>
      <w:r>
        <w:rPr>
          <w:spacing w:val="80"/>
        </w:rPr>
        <w:t> </w:t>
      </w:r>
      <w:r>
        <w:rPr/>
        <w:t>ALBUQUERQUE, DESPACHOU NO DIA 22 DE MAIO DO CORRENTE ANO, OS SEGUINTES PROCESSOS: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Proc: 02.2023.00003999-</w:t>
      </w:r>
      <w:r>
        <w:rPr>
          <w:spacing w:val="-5"/>
        </w:rPr>
        <w:t>3.</w:t>
      </w:r>
    </w:p>
    <w:p>
      <w:pPr>
        <w:pStyle w:val="BodyText"/>
        <w:spacing w:line="249" w:lineRule="auto" w:before="9"/>
        <w:ind w:left="234" w:right="4510"/>
      </w:pPr>
      <w:r>
        <w:rPr/>
        <w:t>Interessado:</w:t>
      </w:r>
      <w:r>
        <w:rPr>
          <w:spacing w:val="-4"/>
        </w:rPr>
        <w:t> </w:t>
      </w:r>
      <w:r>
        <w:rPr/>
        <w:t>8º</w:t>
      </w:r>
      <w:r>
        <w:rPr>
          <w:spacing w:val="-4"/>
        </w:rPr>
        <w:t> </w:t>
      </w:r>
      <w:r>
        <w:rPr/>
        <w:t>Ofício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República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Alagoas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MPF/AL. Assunto: Requerimento de providências.</w:t>
      </w:r>
    </w:p>
    <w:p>
      <w:pPr>
        <w:pStyle w:val="BodyText"/>
        <w:spacing w:before="2"/>
        <w:ind w:left="234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Proc: 02.2023.00004092-</w:t>
      </w:r>
      <w:r>
        <w:rPr>
          <w:spacing w:val="-5"/>
        </w:rPr>
        <w:t>3.</w:t>
      </w:r>
    </w:p>
    <w:p>
      <w:pPr>
        <w:pStyle w:val="BodyText"/>
        <w:spacing w:line="249" w:lineRule="auto" w:before="9"/>
        <w:ind w:left="234" w:right="4510"/>
      </w:pPr>
      <w:r>
        <w:rPr/>
        <w:t>Interessado:</w:t>
      </w:r>
      <w:r>
        <w:rPr>
          <w:spacing w:val="-5"/>
        </w:rPr>
        <w:t> </w:t>
      </w:r>
      <w:r>
        <w:rPr/>
        <w:t>Ouvidoria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Alagoas. Assunto: Requerimento de providências.</w:t>
      </w:r>
    </w:p>
    <w:p>
      <w:pPr>
        <w:pStyle w:val="BodyText"/>
        <w:spacing w:before="1"/>
        <w:ind w:left="234"/>
      </w:pPr>
      <w:r>
        <w:rPr/>
        <w:t>Despacho: À douta Assessoria Técnica para análise e </w:t>
      </w:r>
      <w:r>
        <w:rPr>
          <w:spacing w:val="-2"/>
        </w:rPr>
        <w:t>parecer.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Proc: 02.2023.00004203-</w:t>
      </w:r>
      <w:r>
        <w:rPr>
          <w:spacing w:val="-5"/>
        </w:rPr>
        <w:t>2.</w:t>
      </w:r>
    </w:p>
    <w:p>
      <w:pPr>
        <w:pStyle w:val="BodyText"/>
        <w:spacing w:line="249" w:lineRule="auto" w:before="9"/>
        <w:ind w:left="234" w:right="3533"/>
      </w:pPr>
      <w:r>
        <w:rPr/>
        <w:t>Interessado:</w:t>
      </w:r>
      <w:r>
        <w:rPr>
          <w:spacing w:val="-4"/>
        </w:rPr>
        <w:t> </w:t>
      </w:r>
      <w:r>
        <w:rPr/>
        <w:t>16ª</w:t>
      </w:r>
      <w:r>
        <w:rPr>
          <w:spacing w:val="-4"/>
        </w:rPr>
        <w:t> </w:t>
      </w:r>
      <w:r>
        <w:rPr/>
        <w:t>Promotoria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Capital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Fazenda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Municipal. Assunto: Requerimento de providências.</w:t>
      </w:r>
    </w:p>
    <w:sectPr>
      <w:headerReference w:type="default" r:id="rId5"/>
      <w:footerReference w:type="default" r:id="rId6"/>
      <w:type w:val="continuous"/>
      <w:pgSz w:w="11900" w:h="16840"/>
      <w:pgMar w:header="99" w:footer="725" w:top="780" w:bottom="92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721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81670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7015988</wp:posOffset>
              </wp:positionH>
              <wp:positionV relativeFrom="page">
                <wp:posOffset>10235530</wp:posOffset>
              </wp:positionV>
              <wp:extent cx="9652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440002pt;margin-top:805.947266pt;width:7.6pt;height:13.2pt;mso-position-horizontal-relative:page;mso-position-vertical-relative:page;z-index:-158161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4780153</wp:posOffset>
              </wp:positionH>
              <wp:positionV relativeFrom="page">
                <wp:posOffset>50465</wp:posOffset>
              </wp:positionV>
              <wp:extent cx="2428875" cy="1917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2887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2"/>
                            <w:ind w:left="1289" w:right="18" w:hanging="127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Assinado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digitalmente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por: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PROCURADORIA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GERAL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JUSTICA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ALAGOA:12472734000152.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390015pt;margin-top:3.973633pt;width:191.25pt;height:15.1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spacing w:line="312" w:lineRule="auto" w:before="2"/>
                      <w:ind w:left="1289" w:right="18" w:hanging="127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Assinado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digitalmente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por: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PROCURADORIA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GERAL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JUSTICA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ESTADO</w:t>
                    </w:r>
                    <w:r>
                      <w:rPr>
                        <w:spacing w:val="-5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DE</w:t>
                    </w:r>
                    <w:r>
                      <w:rPr>
                        <w:spacing w:val="40"/>
                        <w:sz w:val="10"/>
                      </w:rPr>
                      <w:t> </w:t>
                    </w:r>
                    <w:r>
                      <w:rPr>
                        <w:spacing w:val="-2"/>
                        <w:sz w:val="10"/>
                      </w:rPr>
                      <w:t>ALAGOA:12472734000152.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right="18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2025-07-21T14:22:31Z</dcterms:created>
  <dcterms:modified xsi:type="dcterms:W3CDTF">2025-07-21T14:22:31Z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