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4"/>
        <w:rPr>
          <w:rFonts w:ascii="Times New Roman"/>
        </w:rPr>
      </w:pPr>
    </w:p>
    <w:p>
      <w:pPr>
        <w:pStyle w:val="Heading1"/>
      </w:pPr>
      <w:r>
        <w:rPr/>
        <w:t>SEÇÃO </w:t>
      </w:r>
      <w:r>
        <w:rPr>
          <w:spacing w:val="-5"/>
        </w:rPr>
        <w:t>VII</w:t>
      </w:r>
    </w:p>
    <w:p>
      <w:pPr>
        <w:spacing w:before="9"/>
        <w:ind w:left="92" w:right="0" w:firstLine="0"/>
        <w:jc w:val="left"/>
        <w:rPr>
          <w:sz w:val="18"/>
        </w:rPr>
      </w:pPr>
      <w:r>
        <w:rPr>
          <w:sz w:val="18"/>
        </w:rPr>
        <w:t>DA GESTÃO DA INFRAESTRUTURA DE </w:t>
      </w:r>
      <w:r>
        <w:rPr>
          <w:spacing w:val="-5"/>
          <w:sz w:val="18"/>
        </w:rPr>
        <w:t>TI</w:t>
      </w:r>
    </w:p>
    <w:p>
      <w:pPr>
        <w:pStyle w:val="BodyText"/>
        <w:spacing w:before="18"/>
      </w:pPr>
    </w:p>
    <w:p>
      <w:pPr>
        <w:pStyle w:val="BodyText"/>
        <w:ind w:left="92"/>
      </w:pPr>
      <w:r>
        <w:rPr/>
        <w:t>Art. 21. A regulamentação da gestão da infraestrutura de TI </w:t>
      </w:r>
      <w:r>
        <w:rPr>
          <w:spacing w:val="-2"/>
        </w:rPr>
        <w:t>contemplará:</w:t>
      </w:r>
    </w:p>
    <w:p>
      <w:pPr>
        <w:pStyle w:val="BodyText"/>
        <w:spacing w:before="18"/>
      </w:pPr>
    </w:p>
    <w:p>
      <w:pPr>
        <w:pStyle w:val="BodyText"/>
        <w:ind w:left="92"/>
      </w:pPr>
      <w:r>
        <w:rPr/>
        <w:t>I - quanto às </w:t>
      </w:r>
      <w:r>
        <w:rPr>
          <w:spacing w:val="-2"/>
        </w:rPr>
        <w:t>mudanças:</w:t>
      </w:r>
    </w:p>
    <w:p>
      <w:pPr>
        <w:pStyle w:val="BodyText"/>
        <w:spacing w:before="18"/>
      </w:pPr>
    </w:p>
    <w:p>
      <w:pPr>
        <w:pStyle w:val="ListParagraph"/>
        <w:numPr>
          <w:ilvl w:val="0"/>
          <w:numId w:val="1"/>
        </w:numPr>
        <w:tabs>
          <w:tab w:pos="302" w:val="left" w:leader="none"/>
        </w:tabs>
        <w:spacing w:line="240" w:lineRule="auto" w:before="0" w:after="0"/>
        <w:ind w:left="302" w:right="0" w:hanging="210"/>
        <w:jc w:val="both"/>
        <w:rPr>
          <w:sz w:val="18"/>
        </w:rPr>
      </w:pPr>
      <w:r>
        <w:rPr>
          <w:sz w:val="18"/>
        </w:rPr>
        <w:t>registro, avaliação e aprovação das </w:t>
      </w:r>
      <w:r>
        <w:rPr>
          <w:spacing w:val="-2"/>
          <w:sz w:val="18"/>
        </w:rPr>
        <w:t>mudanças;</w:t>
      </w:r>
    </w:p>
    <w:p>
      <w:pPr>
        <w:pStyle w:val="BodyText"/>
        <w:spacing w:before="18"/>
      </w:pPr>
    </w:p>
    <w:p>
      <w:pPr>
        <w:pStyle w:val="ListParagraph"/>
        <w:numPr>
          <w:ilvl w:val="0"/>
          <w:numId w:val="1"/>
        </w:numPr>
        <w:tabs>
          <w:tab w:pos="309" w:val="left" w:leader="none"/>
        </w:tabs>
        <w:spacing w:line="249" w:lineRule="auto" w:before="0" w:after="0"/>
        <w:ind w:left="92" w:right="87" w:firstLine="0"/>
        <w:jc w:val="both"/>
        <w:rPr>
          <w:sz w:val="18"/>
        </w:rPr>
      </w:pPr>
      <w:r>
        <w:rPr>
          <w:sz w:val="18"/>
        </w:rPr>
        <w:t>prévia comunicação aos usuários impactados; II - controle e gestão dos itens de configuração e dos ativos de TI. Parágrafo único. Caberá</w:t>
      </w:r>
      <w:r>
        <w:rPr>
          <w:spacing w:val="-1"/>
          <w:sz w:val="18"/>
        </w:rPr>
        <w:t> </w:t>
      </w:r>
      <w:r>
        <w:rPr>
          <w:sz w:val="18"/>
        </w:rPr>
        <w:t>ao CETI</w:t>
      </w:r>
      <w:r>
        <w:rPr>
          <w:spacing w:val="-1"/>
          <w:sz w:val="18"/>
        </w:rPr>
        <w:t> </w:t>
      </w:r>
      <w:r>
        <w:rPr>
          <w:sz w:val="18"/>
        </w:rPr>
        <w:t>em conjunto</w:t>
      </w:r>
      <w:r>
        <w:rPr>
          <w:spacing w:val="-1"/>
          <w:sz w:val="18"/>
        </w:rPr>
        <w:t> </w:t>
      </w:r>
      <w:r>
        <w:rPr>
          <w:sz w:val="18"/>
        </w:rPr>
        <w:t>com a</w:t>
      </w:r>
      <w:r>
        <w:rPr>
          <w:spacing w:val="-1"/>
          <w:sz w:val="18"/>
        </w:rPr>
        <w:t> </w:t>
      </w:r>
      <w:r>
        <w:rPr>
          <w:sz w:val="18"/>
        </w:rPr>
        <w:t>DTI, aprovar</w:t>
      </w:r>
      <w:r>
        <w:rPr>
          <w:spacing w:val="-1"/>
          <w:sz w:val="18"/>
        </w:rPr>
        <w:t> </w:t>
      </w:r>
      <w:r>
        <w:rPr>
          <w:sz w:val="18"/>
        </w:rPr>
        <w:t>e priorizar</w:t>
      </w:r>
      <w:r>
        <w:rPr>
          <w:spacing w:val="-1"/>
          <w:sz w:val="18"/>
        </w:rPr>
        <w:t> </w:t>
      </w:r>
      <w:r>
        <w:rPr>
          <w:sz w:val="18"/>
        </w:rPr>
        <w:t>as mudanças</w:t>
      </w:r>
      <w:r>
        <w:rPr>
          <w:spacing w:val="-1"/>
          <w:sz w:val="18"/>
        </w:rPr>
        <w:t> </w:t>
      </w:r>
      <w:r>
        <w:rPr>
          <w:sz w:val="18"/>
        </w:rPr>
        <w:t>de grande</w:t>
      </w:r>
      <w:r>
        <w:rPr>
          <w:spacing w:val="-1"/>
          <w:sz w:val="18"/>
        </w:rPr>
        <w:t> </w:t>
      </w:r>
      <w:r>
        <w:rPr>
          <w:sz w:val="18"/>
        </w:rPr>
        <w:t>impacto nos</w:t>
      </w:r>
      <w:r>
        <w:rPr>
          <w:spacing w:val="-1"/>
          <w:sz w:val="18"/>
        </w:rPr>
        <w:t> </w:t>
      </w:r>
      <w:r>
        <w:rPr>
          <w:sz w:val="18"/>
        </w:rPr>
        <w:t>serviços de</w:t>
      </w:r>
      <w:r>
        <w:rPr>
          <w:spacing w:val="-1"/>
          <w:sz w:val="18"/>
        </w:rPr>
        <w:t> </w:t>
      </w:r>
      <w:r>
        <w:rPr>
          <w:sz w:val="18"/>
        </w:rPr>
        <w:t>TI, levando- se em consideração os riscos de TI identificados.</w:t>
      </w:r>
    </w:p>
    <w:p>
      <w:pPr>
        <w:pStyle w:val="BodyText"/>
        <w:spacing w:before="11"/>
      </w:pPr>
    </w:p>
    <w:p>
      <w:pPr>
        <w:pStyle w:val="Heading1"/>
        <w:spacing w:before="1"/>
      </w:pPr>
      <w:r>
        <w:rPr/>
        <w:t>SEÇÃO </w:t>
      </w:r>
      <w:r>
        <w:rPr>
          <w:spacing w:val="-4"/>
        </w:rPr>
        <w:t>VIII</w:t>
      </w:r>
    </w:p>
    <w:p>
      <w:pPr>
        <w:spacing w:before="9"/>
        <w:ind w:left="92" w:right="0" w:firstLine="0"/>
        <w:jc w:val="left"/>
        <w:rPr>
          <w:sz w:val="18"/>
        </w:rPr>
      </w:pPr>
      <w:r>
        <w:rPr>
          <w:sz w:val="18"/>
        </w:rPr>
        <w:t>DA GESTÃO DA SEGURANÇA DA INFORMAÇÃO NOS ATIVOS DE </w:t>
      </w:r>
      <w:r>
        <w:rPr>
          <w:spacing w:val="-5"/>
          <w:sz w:val="18"/>
        </w:rPr>
        <w:t>TI</w:t>
      </w:r>
    </w:p>
    <w:p>
      <w:pPr>
        <w:pStyle w:val="BodyText"/>
        <w:spacing w:before="18"/>
      </w:pPr>
    </w:p>
    <w:p>
      <w:pPr>
        <w:pStyle w:val="BodyText"/>
        <w:spacing w:line="249" w:lineRule="auto"/>
        <w:ind w:left="92" w:right="87"/>
        <w:jc w:val="both"/>
      </w:pPr>
      <w:r>
        <w:rPr/>
        <w:t>Art. 22. A regulamentação da gestão de que trata o art. 18 buscará garantir que os ativos críticos, os riscos, as ameaças, as vulnerabilidades e os incidentes de segurança sejam identificados, monitorados e priorizados por meio de controles efetivos.</w:t>
      </w:r>
    </w:p>
    <w:p>
      <w:pPr>
        <w:pStyle w:val="BodyText"/>
        <w:spacing w:before="10"/>
      </w:pPr>
    </w:p>
    <w:p>
      <w:pPr>
        <w:pStyle w:val="BodyText"/>
        <w:spacing w:line="249" w:lineRule="auto"/>
        <w:ind w:left="92" w:right="88"/>
        <w:jc w:val="both"/>
      </w:pPr>
      <w:r>
        <w:rPr/>
        <w:t>Art. 23. O macroprocesso de gestão da segurança da informação nos ativos de TI contemplará a continuidade dos serviços de</w:t>
      </w:r>
      <w:r>
        <w:rPr>
          <w:spacing w:val="40"/>
        </w:rPr>
        <w:t> </w:t>
      </w:r>
      <w:r>
        <w:rPr/>
        <w:t>TI e o uso dos ativos de TI.</w:t>
      </w:r>
    </w:p>
    <w:p>
      <w:pPr>
        <w:pStyle w:val="BodyText"/>
        <w:spacing w:before="11"/>
      </w:pPr>
    </w:p>
    <w:p>
      <w:pPr>
        <w:pStyle w:val="Heading1"/>
      </w:pPr>
      <w:r>
        <w:rPr/>
        <w:t>CAPÍTULO </w:t>
      </w:r>
      <w:r>
        <w:rPr>
          <w:spacing w:val="-5"/>
        </w:rPr>
        <w:t>VII</w:t>
      </w:r>
    </w:p>
    <w:p>
      <w:pPr>
        <w:spacing w:before="9"/>
        <w:ind w:left="92" w:right="0" w:firstLine="0"/>
        <w:jc w:val="left"/>
        <w:rPr>
          <w:sz w:val="18"/>
        </w:rPr>
      </w:pPr>
      <w:r>
        <w:rPr>
          <w:sz w:val="18"/>
        </w:rPr>
        <w:t>DAS DISPOSIÇÕES </w:t>
      </w:r>
      <w:r>
        <w:rPr>
          <w:spacing w:val="-2"/>
          <w:sz w:val="18"/>
        </w:rPr>
        <w:t>FINAIS</w:t>
      </w:r>
    </w:p>
    <w:p>
      <w:pPr>
        <w:pStyle w:val="BodyText"/>
        <w:spacing w:before="18"/>
      </w:pPr>
    </w:p>
    <w:p>
      <w:pPr>
        <w:pStyle w:val="BodyText"/>
        <w:ind w:left="92"/>
      </w:pPr>
      <w:r>
        <w:rPr/>
        <w:t>Art. 24. O CETI em conjunto com a DTI promoverá ações e estratégias </w:t>
      </w:r>
      <w:r>
        <w:rPr>
          <w:spacing w:val="-2"/>
        </w:rPr>
        <w:t>para:</w:t>
      </w:r>
    </w:p>
    <w:p>
      <w:pPr>
        <w:pStyle w:val="BodyText"/>
        <w:spacing w:before="18"/>
      </w:pPr>
    </w:p>
    <w:p>
      <w:pPr>
        <w:pStyle w:val="ListParagraph"/>
        <w:numPr>
          <w:ilvl w:val="1"/>
          <w:numId w:val="1"/>
        </w:numPr>
        <w:tabs>
          <w:tab w:pos="196" w:val="left" w:leader="none"/>
        </w:tabs>
        <w:spacing w:line="249" w:lineRule="auto" w:before="0" w:after="0"/>
        <w:ind w:left="92" w:right="68" w:firstLine="0"/>
        <w:jc w:val="both"/>
        <w:rPr>
          <w:sz w:val="18"/>
        </w:rPr>
      </w:pPr>
      <w:r>
        <w:rPr>
          <w:sz w:val="18"/>
        </w:rPr>
        <w:t>- sensibilização da instituição quanto à importância da governança e gestão do uso da TI, pela adoção de boas práticas de TI, para o alcance dos objetivos estratégicos, em parceria com a Diretoria Geral e demais setores das áreas finalísticas e </w:t>
      </w:r>
      <w:r>
        <w:rPr>
          <w:spacing w:val="-2"/>
          <w:sz w:val="18"/>
        </w:rPr>
        <w:t>estruturantes.</w:t>
      </w:r>
    </w:p>
    <w:p>
      <w:pPr>
        <w:pStyle w:val="BodyText"/>
        <w:spacing w:before="11"/>
      </w:pPr>
    </w:p>
    <w:p>
      <w:pPr>
        <w:pStyle w:val="ListParagraph"/>
        <w:numPr>
          <w:ilvl w:val="1"/>
          <w:numId w:val="1"/>
        </w:numPr>
        <w:tabs>
          <w:tab w:pos="254" w:val="left" w:leader="none"/>
        </w:tabs>
        <w:spacing w:line="249" w:lineRule="auto" w:before="0" w:after="0"/>
        <w:ind w:left="92" w:right="88" w:firstLine="0"/>
        <w:jc w:val="both"/>
        <w:rPr>
          <w:sz w:val="18"/>
        </w:rPr>
      </w:pPr>
      <w:r>
        <w:rPr>
          <w:sz w:val="18"/>
        </w:rPr>
        <w:t>- comunicação visando ampliar a participação e a transparência das diversas ações relacionadas à TI na instituição com o apoio da Diretoria de Comunicação Social.</w:t>
      </w:r>
    </w:p>
    <w:p>
      <w:pPr>
        <w:pStyle w:val="BodyText"/>
        <w:spacing w:before="10"/>
      </w:pPr>
    </w:p>
    <w:p>
      <w:pPr>
        <w:pStyle w:val="ListParagraph"/>
        <w:numPr>
          <w:ilvl w:val="1"/>
          <w:numId w:val="1"/>
        </w:numPr>
        <w:tabs>
          <w:tab w:pos="293" w:val="left" w:leader="none"/>
        </w:tabs>
        <w:spacing w:line="249" w:lineRule="auto" w:before="1" w:after="0"/>
        <w:ind w:left="92" w:right="88" w:firstLine="0"/>
        <w:jc w:val="both"/>
        <w:rPr>
          <w:sz w:val="18"/>
        </w:rPr>
      </w:pPr>
      <w:r>
        <w:rPr>
          <w:sz w:val="18"/>
        </w:rPr>
        <w:t>- treinamento contínuo dos usuários em serviços de TI em parceria com a Escola Superior do Ministério Público do Estado de Alagoas (ESMP/AL);</w:t>
      </w:r>
    </w:p>
    <w:p>
      <w:pPr>
        <w:pStyle w:val="BodyText"/>
        <w:spacing w:before="10"/>
      </w:pPr>
    </w:p>
    <w:p>
      <w:pPr>
        <w:pStyle w:val="BodyText"/>
        <w:ind w:left="92"/>
      </w:pPr>
      <w:r>
        <w:rPr/>
        <w:t>Gabinete do Procurador-Geral de Justiça, em Maceió, 10 de fevereiro de </w:t>
      </w:r>
      <w:r>
        <w:rPr>
          <w:spacing w:val="-2"/>
        </w:rPr>
        <w:t>2025.</w:t>
      </w:r>
    </w:p>
    <w:p>
      <w:pPr>
        <w:pStyle w:val="BodyText"/>
      </w:pPr>
    </w:p>
    <w:p>
      <w:pPr>
        <w:pStyle w:val="BodyText"/>
        <w:spacing w:before="27"/>
      </w:pPr>
    </w:p>
    <w:p>
      <w:pPr>
        <w:pStyle w:val="Heading1"/>
      </w:pPr>
      <w:r>
        <w:rPr/>
        <w:t>LEAN ANTÔNIO FERREIRA DE </w:t>
      </w:r>
      <w:r>
        <w:rPr>
          <w:spacing w:val="-2"/>
        </w:rPr>
        <w:t>ARAÚJO</w:t>
      </w:r>
    </w:p>
    <w:p>
      <w:pPr>
        <w:pStyle w:val="BodyText"/>
        <w:spacing w:before="9"/>
        <w:ind w:left="92"/>
      </w:pPr>
      <w:r>
        <w:rPr/>
        <w:t>Procurador-Geral de </w:t>
      </w:r>
      <w:r>
        <w:rPr>
          <w:spacing w:val="-2"/>
        </w:rPr>
        <w:t>Justiça</w:t>
      </w:r>
    </w:p>
    <w:p>
      <w:pPr>
        <w:pStyle w:val="BodyText"/>
      </w:pPr>
    </w:p>
    <w:p>
      <w:pPr>
        <w:pStyle w:val="BodyText"/>
      </w:pPr>
    </w:p>
    <w:p>
      <w:pPr>
        <w:pStyle w:val="BodyText"/>
        <w:spacing w:before="36"/>
      </w:pPr>
    </w:p>
    <w:p>
      <w:pPr>
        <w:pStyle w:val="BodyText"/>
        <w:ind w:left="92"/>
      </w:pPr>
      <w:r>
        <w:rPr/>
        <w:t>ATO PGJ Nº </w:t>
      </w:r>
      <w:r>
        <w:rPr>
          <w:spacing w:val="-2"/>
        </w:rPr>
        <w:t>06/2025</w:t>
      </w:r>
    </w:p>
    <w:p>
      <w:pPr>
        <w:pStyle w:val="BodyText"/>
      </w:pPr>
    </w:p>
    <w:p>
      <w:pPr>
        <w:pStyle w:val="BodyText"/>
        <w:spacing w:before="27"/>
      </w:pPr>
    </w:p>
    <w:p>
      <w:pPr>
        <w:pStyle w:val="BodyText"/>
        <w:spacing w:line="249" w:lineRule="auto"/>
        <w:ind w:left="92"/>
      </w:pPr>
      <w:r>
        <w:rPr/>
        <w:t>Dispõe</w:t>
      </w:r>
      <w:r>
        <w:rPr>
          <w:spacing w:val="61"/>
        </w:rPr>
        <w:t> </w:t>
      </w:r>
      <w:r>
        <w:rPr/>
        <w:t>sobre</w:t>
      </w:r>
      <w:r>
        <w:rPr>
          <w:spacing w:val="61"/>
        </w:rPr>
        <w:t> </w:t>
      </w:r>
      <w:r>
        <w:rPr/>
        <w:t>a</w:t>
      </w:r>
      <w:r>
        <w:rPr>
          <w:spacing w:val="61"/>
        </w:rPr>
        <w:t> </w:t>
      </w:r>
      <w:r>
        <w:rPr/>
        <w:t>Política</w:t>
      </w:r>
      <w:r>
        <w:rPr>
          <w:spacing w:val="61"/>
        </w:rPr>
        <w:t> </w:t>
      </w:r>
      <w:r>
        <w:rPr/>
        <w:t>de</w:t>
      </w:r>
      <w:r>
        <w:rPr>
          <w:spacing w:val="61"/>
        </w:rPr>
        <w:t> </w:t>
      </w:r>
      <w:r>
        <w:rPr/>
        <w:t>Gestão</w:t>
      </w:r>
      <w:r>
        <w:rPr>
          <w:spacing w:val="61"/>
        </w:rPr>
        <w:t> </w:t>
      </w:r>
      <w:r>
        <w:rPr/>
        <w:t>de</w:t>
      </w:r>
      <w:r>
        <w:rPr>
          <w:spacing w:val="61"/>
        </w:rPr>
        <w:t> </w:t>
      </w:r>
      <w:r>
        <w:rPr/>
        <w:t>Riscos</w:t>
      </w:r>
      <w:r>
        <w:rPr>
          <w:spacing w:val="61"/>
        </w:rPr>
        <w:t> </w:t>
      </w:r>
      <w:r>
        <w:rPr/>
        <w:t>de</w:t>
      </w:r>
      <w:r>
        <w:rPr>
          <w:spacing w:val="61"/>
        </w:rPr>
        <w:t> </w:t>
      </w:r>
      <w:r>
        <w:rPr/>
        <w:t>Tecnologia</w:t>
      </w:r>
      <w:r>
        <w:rPr>
          <w:spacing w:val="61"/>
        </w:rPr>
        <w:t> </w:t>
      </w:r>
      <w:r>
        <w:rPr/>
        <w:t>da</w:t>
      </w:r>
      <w:r>
        <w:rPr>
          <w:spacing w:val="61"/>
        </w:rPr>
        <w:t> </w:t>
      </w:r>
      <w:r>
        <w:rPr/>
        <w:t>Informação</w:t>
      </w:r>
      <w:r>
        <w:rPr>
          <w:spacing w:val="61"/>
        </w:rPr>
        <w:t> </w:t>
      </w:r>
      <w:r>
        <w:rPr/>
        <w:t>Ministério</w:t>
      </w:r>
      <w:r>
        <w:rPr>
          <w:spacing w:val="61"/>
        </w:rPr>
        <w:t> </w:t>
      </w:r>
      <w:r>
        <w:rPr/>
        <w:t>Público</w:t>
      </w:r>
      <w:r>
        <w:rPr>
          <w:spacing w:val="61"/>
        </w:rPr>
        <w:t> </w:t>
      </w:r>
      <w:r>
        <w:rPr/>
        <w:t>do</w:t>
      </w:r>
      <w:r>
        <w:rPr>
          <w:spacing w:val="61"/>
        </w:rPr>
        <w:t> </w:t>
      </w:r>
      <w:r>
        <w:rPr/>
        <w:t>Estado</w:t>
      </w:r>
      <w:r>
        <w:rPr>
          <w:spacing w:val="61"/>
        </w:rPr>
        <w:t> </w:t>
      </w:r>
      <w:r>
        <w:rPr/>
        <w:t>de</w:t>
      </w:r>
      <w:r>
        <w:rPr>
          <w:spacing w:val="61"/>
        </w:rPr>
        <w:t> </w:t>
      </w:r>
      <w:r>
        <w:rPr/>
        <w:t>Alagoas </w:t>
      </w:r>
      <w:r>
        <w:rPr>
          <w:spacing w:val="-2"/>
        </w:rPr>
        <w:t>(PGTI/MPAL)</w:t>
      </w:r>
    </w:p>
    <w:p>
      <w:pPr>
        <w:pStyle w:val="BodyText"/>
        <w:spacing w:before="11"/>
      </w:pPr>
    </w:p>
    <w:p>
      <w:pPr>
        <w:pStyle w:val="BodyText"/>
        <w:spacing w:line="249" w:lineRule="auto"/>
        <w:ind w:left="92" w:right="30"/>
      </w:pPr>
      <w:r>
        <w:rPr/>
        <w:t>Art. 1º Instituir a Política de Gestão de Riscos de Tecnologia da Informação – PGRTI no âmbito do Ministério Público do Estado de Alagoas - MPAL.</w:t>
      </w:r>
    </w:p>
    <w:p>
      <w:pPr>
        <w:pStyle w:val="BodyText"/>
        <w:spacing w:before="10"/>
      </w:pPr>
    </w:p>
    <w:p>
      <w:pPr>
        <w:pStyle w:val="BodyText"/>
        <w:spacing w:line="249" w:lineRule="auto"/>
        <w:ind w:left="92" w:right="68"/>
        <w:jc w:val="both"/>
      </w:pPr>
      <w:r>
        <w:rPr/>
        <w:t>Art. 2º A PGRTI/MPAL observará conceitos, objetivos, princípios, diretrizes, papéis e responsabilidades estabelecidos neste ato, bem como as disposições constitucionais, legais e regimentais vigentes.</w:t>
      </w:r>
    </w:p>
    <w:p>
      <w:pPr>
        <w:pStyle w:val="BodyText"/>
        <w:spacing w:before="11"/>
      </w:pPr>
    </w:p>
    <w:p>
      <w:pPr>
        <w:pStyle w:val="Heading1"/>
      </w:pPr>
      <w:r>
        <w:rPr/>
        <w:t>CAPÍTULO </w:t>
      </w:r>
      <w:r>
        <w:rPr>
          <w:spacing w:val="-10"/>
        </w:rPr>
        <w:t>I</w:t>
      </w:r>
    </w:p>
    <w:p>
      <w:pPr>
        <w:spacing w:before="9"/>
        <w:ind w:left="92" w:right="0" w:firstLine="0"/>
        <w:jc w:val="left"/>
        <w:rPr>
          <w:sz w:val="18"/>
        </w:rPr>
      </w:pPr>
      <w:r>
        <w:rPr>
          <w:sz w:val="18"/>
        </w:rPr>
        <w:t>DOS </w:t>
      </w:r>
      <w:r>
        <w:rPr>
          <w:spacing w:val="-2"/>
          <w:sz w:val="18"/>
        </w:rPr>
        <w:t>CONCEITOS</w:t>
      </w:r>
    </w:p>
    <w:p>
      <w:pPr>
        <w:spacing w:after="0"/>
        <w:jc w:val="left"/>
        <w:rPr>
          <w:sz w:val="18"/>
        </w:rPr>
        <w:sectPr>
          <w:headerReference w:type="default" r:id="rId5"/>
          <w:footerReference w:type="default" r:id="rId6"/>
          <w:type w:val="continuous"/>
          <w:pgSz w:w="11900" w:h="16840"/>
          <w:pgMar w:header="799" w:footer="725" w:top="2540" w:bottom="920" w:left="708" w:right="708"/>
          <w:pgNumType w:start="9"/>
        </w:sectPr>
      </w:pPr>
    </w:p>
    <w:p>
      <w:pPr>
        <w:pStyle w:val="BodyText"/>
      </w:pPr>
    </w:p>
    <w:p>
      <w:pPr>
        <w:pStyle w:val="BodyText"/>
        <w:spacing w:before="103"/>
      </w:pPr>
    </w:p>
    <w:p>
      <w:pPr>
        <w:pStyle w:val="BodyText"/>
        <w:ind w:left="92"/>
      </w:pPr>
      <w:r>
        <w:rPr/>
        <w:t>Art. 3º Para os efeitos do presente ato, considera-</w:t>
      </w:r>
      <w:r>
        <w:rPr>
          <w:spacing w:val="-5"/>
        </w:rPr>
        <w:t>se:</w:t>
      </w:r>
    </w:p>
    <w:p>
      <w:pPr>
        <w:pStyle w:val="BodyText"/>
        <w:spacing w:before="18"/>
      </w:pPr>
    </w:p>
    <w:p>
      <w:pPr>
        <w:pStyle w:val="ListParagraph"/>
        <w:numPr>
          <w:ilvl w:val="0"/>
          <w:numId w:val="2"/>
        </w:numPr>
        <w:tabs>
          <w:tab w:pos="192" w:val="left" w:leader="none"/>
        </w:tabs>
        <w:spacing w:line="240" w:lineRule="auto" w:before="0" w:after="0"/>
        <w:ind w:left="192" w:right="0" w:hanging="100"/>
        <w:jc w:val="left"/>
        <w:rPr>
          <w:sz w:val="18"/>
        </w:rPr>
      </w:pPr>
      <w:r>
        <w:rPr>
          <w:sz w:val="18"/>
        </w:rPr>
        <w:t>– serviço de TI: uma ou mais soluções de TI que, em conjunto, habilitam um processo de </w:t>
      </w:r>
      <w:r>
        <w:rPr>
          <w:spacing w:val="-2"/>
          <w:sz w:val="18"/>
        </w:rPr>
        <w:t>negócio;</w:t>
      </w:r>
    </w:p>
    <w:p>
      <w:pPr>
        <w:pStyle w:val="BodyText"/>
        <w:spacing w:before="18"/>
      </w:pPr>
    </w:p>
    <w:p>
      <w:pPr>
        <w:pStyle w:val="ListParagraph"/>
        <w:numPr>
          <w:ilvl w:val="0"/>
          <w:numId w:val="2"/>
        </w:numPr>
        <w:tabs>
          <w:tab w:pos="242" w:val="left" w:leader="none"/>
        </w:tabs>
        <w:spacing w:line="240" w:lineRule="auto" w:before="0" w:after="0"/>
        <w:ind w:left="242" w:right="0" w:hanging="150"/>
        <w:jc w:val="left"/>
        <w:rPr>
          <w:sz w:val="18"/>
        </w:rPr>
      </w:pPr>
      <w:r>
        <w:rPr>
          <w:sz w:val="18"/>
        </w:rPr>
        <w:t>– catálogo de serviços de TI: banco de dados ou documento estruturado contendo informações sobre os serviços de TI </w:t>
      </w:r>
      <w:r>
        <w:rPr>
          <w:spacing w:val="-2"/>
          <w:sz w:val="18"/>
        </w:rPr>
        <w:t>ativos;</w:t>
      </w:r>
    </w:p>
    <w:p>
      <w:pPr>
        <w:pStyle w:val="BodyText"/>
        <w:spacing w:before="18"/>
      </w:pPr>
    </w:p>
    <w:p>
      <w:pPr>
        <w:pStyle w:val="ListParagraph"/>
        <w:numPr>
          <w:ilvl w:val="0"/>
          <w:numId w:val="2"/>
        </w:numPr>
        <w:tabs>
          <w:tab w:pos="296" w:val="left" w:leader="none"/>
        </w:tabs>
        <w:spacing w:line="249" w:lineRule="auto" w:before="0" w:after="0"/>
        <w:ind w:left="92" w:right="88" w:firstLine="0"/>
        <w:jc w:val="left"/>
        <w:rPr>
          <w:sz w:val="18"/>
        </w:rPr>
      </w:pPr>
      <w:r>
        <w:rPr>
          <w:sz w:val="18"/>
        </w:rPr>
        <w:t>– risco de TI: efeito da incerteza em projetos, iniciativas ou serviços de TI caracterizado por uma possível alteração negativa em relação ao resultado esperado;</w:t>
      </w:r>
    </w:p>
    <w:p>
      <w:pPr>
        <w:pStyle w:val="BodyText"/>
        <w:spacing w:before="11"/>
      </w:pPr>
    </w:p>
    <w:p>
      <w:pPr>
        <w:pStyle w:val="ListParagraph"/>
        <w:numPr>
          <w:ilvl w:val="0"/>
          <w:numId w:val="2"/>
        </w:numPr>
        <w:tabs>
          <w:tab w:pos="312" w:val="left" w:leader="none"/>
        </w:tabs>
        <w:spacing w:line="240" w:lineRule="auto" w:before="0" w:after="0"/>
        <w:ind w:left="312" w:right="0" w:hanging="220"/>
        <w:jc w:val="left"/>
        <w:rPr>
          <w:sz w:val="18"/>
        </w:rPr>
      </w:pPr>
      <w:r>
        <w:rPr>
          <w:sz w:val="18"/>
        </w:rPr>
        <w:t>– natureza do risco: tipo do risco (financeiro, patrimonial, ético, de imagem, de conformidade, </w:t>
      </w:r>
      <w:r>
        <w:rPr>
          <w:spacing w:val="-2"/>
          <w:sz w:val="18"/>
        </w:rPr>
        <w:t>etc);</w:t>
      </w:r>
    </w:p>
    <w:p>
      <w:pPr>
        <w:pStyle w:val="BodyText"/>
        <w:spacing w:before="18"/>
      </w:pPr>
    </w:p>
    <w:p>
      <w:pPr>
        <w:pStyle w:val="ListParagraph"/>
        <w:numPr>
          <w:ilvl w:val="0"/>
          <w:numId w:val="2"/>
        </w:numPr>
        <w:tabs>
          <w:tab w:pos="262" w:val="left" w:leader="none"/>
        </w:tabs>
        <w:spacing w:line="240" w:lineRule="auto" w:before="0" w:after="0"/>
        <w:ind w:left="262" w:right="0" w:hanging="170"/>
        <w:jc w:val="left"/>
        <w:rPr>
          <w:sz w:val="18"/>
        </w:rPr>
      </w:pPr>
      <w:r>
        <w:rPr>
          <w:sz w:val="18"/>
        </w:rPr>
        <w:t>– nível de risco: magnitude do risco, obtida a partir do produto da probabilidade de ocorrência do risco pelo seu </w:t>
      </w:r>
      <w:r>
        <w:rPr>
          <w:spacing w:val="-2"/>
          <w:sz w:val="18"/>
        </w:rPr>
        <w:t>impacto;</w:t>
      </w:r>
    </w:p>
    <w:p>
      <w:pPr>
        <w:pStyle w:val="BodyText"/>
        <w:spacing w:before="18"/>
      </w:pPr>
    </w:p>
    <w:p>
      <w:pPr>
        <w:pStyle w:val="ListParagraph"/>
        <w:numPr>
          <w:ilvl w:val="0"/>
          <w:numId w:val="2"/>
        </w:numPr>
        <w:tabs>
          <w:tab w:pos="312" w:val="left" w:leader="none"/>
        </w:tabs>
        <w:spacing w:line="240" w:lineRule="auto" w:before="0" w:after="0"/>
        <w:ind w:left="312" w:right="0" w:hanging="220"/>
        <w:jc w:val="left"/>
        <w:rPr>
          <w:sz w:val="18"/>
        </w:rPr>
      </w:pPr>
      <w:r>
        <w:rPr>
          <w:sz w:val="18"/>
        </w:rPr>
        <w:t>– tolerância ao risco: nível de risco que a Instituição considera </w:t>
      </w:r>
      <w:r>
        <w:rPr>
          <w:spacing w:val="-2"/>
          <w:sz w:val="18"/>
        </w:rPr>
        <w:t>aceitável;</w:t>
      </w:r>
    </w:p>
    <w:p>
      <w:pPr>
        <w:pStyle w:val="BodyText"/>
        <w:spacing w:before="18"/>
      </w:pPr>
    </w:p>
    <w:p>
      <w:pPr>
        <w:pStyle w:val="ListParagraph"/>
        <w:numPr>
          <w:ilvl w:val="0"/>
          <w:numId w:val="2"/>
        </w:numPr>
        <w:tabs>
          <w:tab w:pos="362" w:val="left" w:leader="none"/>
        </w:tabs>
        <w:spacing w:line="249" w:lineRule="auto" w:before="0" w:after="0"/>
        <w:ind w:left="92" w:right="89" w:firstLine="0"/>
        <w:jc w:val="left"/>
        <w:rPr>
          <w:sz w:val="18"/>
        </w:rPr>
      </w:pPr>
      <w:r>
        <w:rPr>
          <w:sz w:val="18"/>
        </w:rPr>
        <w:t>-</w:t>
      </w:r>
      <w:r>
        <w:rPr>
          <w:spacing w:val="-1"/>
          <w:sz w:val="18"/>
        </w:rPr>
        <w:t> </w:t>
      </w:r>
      <w:r>
        <w:rPr>
          <w:sz w:val="18"/>
        </w:rPr>
        <w:t>evento:</w:t>
      </w:r>
      <w:r>
        <w:rPr>
          <w:spacing w:val="-1"/>
          <w:sz w:val="18"/>
        </w:rPr>
        <w:t> </w:t>
      </w:r>
      <w:r>
        <w:rPr>
          <w:sz w:val="18"/>
        </w:rPr>
        <w:t>ocorrência,</w:t>
      </w:r>
      <w:r>
        <w:rPr>
          <w:spacing w:val="-1"/>
          <w:sz w:val="18"/>
        </w:rPr>
        <w:t> </w:t>
      </w:r>
      <w:r>
        <w:rPr>
          <w:sz w:val="18"/>
        </w:rPr>
        <w:t>interna</w:t>
      </w:r>
      <w:r>
        <w:rPr>
          <w:spacing w:val="-1"/>
          <w:sz w:val="18"/>
        </w:rPr>
        <w:t> </w:t>
      </w:r>
      <w:r>
        <w:rPr>
          <w:sz w:val="18"/>
        </w:rPr>
        <w:t>ou</w:t>
      </w:r>
      <w:r>
        <w:rPr>
          <w:spacing w:val="-1"/>
          <w:sz w:val="18"/>
        </w:rPr>
        <w:t> </w:t>
      </w:r>
      <w:r>
        <w:rPr>
          <w:sz w:val="18"/>
        </w:rPr>
        <w:t>externa,</w:t>
      </w:r>
      <w:r>
        <w:rPr>
          <w:spacing w:val="-1"/>
          <w:sz w:val="18"/>
        </w:rPr>
        <w:t> </w:t>
      </w:r>
      <w:r>
        <w:rPr>
          <w:sz w:val="18"/>
        </w:rPr>
        <w:t>capaz,</w:t>
      </w:r>
      <w:r>
        <w:rPr>
          <w:spacing w:val="-1"/>
          <w:sz w:val="18"/>
        </w:rPr>
        <w:t> </w:t>
      </w:r>
      <w:r>
        <w:rPr>
          <w:sz w:val="18"/>
        </w:rPr>
        <w:t>de</w:t>
      </w:r>
      <w:r>
        <w:rPr>
          <w:spacing w:val="-1"/>
          <w:sz w:val="18"/>
        </w:rPr>
        <w:t> </w:t>
      </w:r>
      <w:r>
        <w:rPr>
          <w:sz w:val="18"/>
        </w:rPr>
        <w:t>causar</w:t>
      </w:r>
      <w:r>
        <w:rPr>
          <w:spacing w:val="-1"/>
          <w:sz w:val="18"/>
        </w:rPr>
        <w:t> </w:t>
      </w:r>
      <w:r>
        <w:rPr>
          <w:sz w:val="18"/>
        </w:rPr>
        <w:t>impacto</w:t>
      </w:r>
      <w:r>
        <w:rPr>
          <w:spacing w:val="-1"/>
          <w:sz w:val="18"/>
        </w:rPr>
        <w:t> </w:t>
      </w:r>
      <w:r>
        <w:rPr>
          <w:sz w:val="18"/>
        </w:rPr>
        <w:t>em</w:t>
      </w:r>
      <w:r>
        <w:rPr>
          <w:spacing w:val="-1"/>
          <w:sz w:val="18"/>
        </w:rPr>
        <w:t> </w:t>
      </w:r>
      <w:r>
        <w:rPr>
          <w:sz w:val="18"/>
        </w:rPr>
        <w:t>objetivos</w:t>
      </w:r>
      <w:r>
        <w:rPr>
          <w:spacing w:val="-1"/>
          <w:sz w:val="18"/>
        </w:rPr>
        <w:t> </w:t>
      </w:r>
      <w:r>
        <w:rPr>
          <w:sz w:val="18"/>
        </w:rPr>
        <w:t>estratégicos,</w:t>
      </w:r>
      <w:r>
        <w:rPr>
          <w:spacing w:val="-1"/>
          <w:sz w:val="18"/>
        </w:rPr>
        <w:t> </w:t>
      </w:r>
      <w:r>
        <w:rPr>
          <w:sz w:val="18"/>
        </w:rPr>
        <w:t>programas,</w:t>
      </w:r>
      <w:r>
        <w:rPr>
          <w:spacing w:val="-1"/>
          <w:sz w:val="18"/>
        </w:rPr>
        <w:t> </w:t>
      </w:r>
      <w:r>
        <w:rPr>
          <w:sz w:val="18"/>
        </w:rPr>
        <w:t>projetos,</w:t>
      </w:r>
      <w:r>
        <w:rPr>
          <w:spacing w:val="-1"/>
          <w:sz w:val="18"/>
        </w:rPr>
        <w:t> </w:t>
      </w:r>
      <w:r>
        <w:rPr>
          <w:sz w:val="18"/>
        </w:rPr>
        <w:t>processos de trabalho ou iniciativas institucionais;</w:t>
      </w:r>
    </w:p>
    <w:p>
      <w:pPr>
        <w:pStyle w:val="BodyText"/>
        <w:spacing w:before="10"/>
      </w:pPr>
    </w:p>
    <w:p>
      <w:pPr>
        <w:pStyle w:val="ListParagraph"/>
        <w:numPr>
          <w:ilvl w:val="0"/>
          <w:numId w:val="2"/>
        </w:numPr>
        <w:tabs>
          <w:tab w:pos="412" w:val="left" w:leader="none"/>
        </w:tabs>
        <w:spacing w:line="240" w:lineRule="auto" w:before="0" w:after="0"/>
        <w:ind w:left="412" w:right="0" w:hanging="320"/>
        <w:jc w:val="left"/>
        <w:rPr>
          <w:sz w:val="18"/>
        </w:rPr>
      </w:pPr>
      <w:r>
        <w:rPr>
          <w:sz w:val="18"/>
        </w:rPr>
        <w:t>– processos críticos de trabalho: são aqueles sem os quais as funções essenciais do MPAL não podem ser </w:t>
      </w:r>
      <w:r>
        <w:rPr>
          <w:spacing w:val="-2"/>
          <w:sz w:val="18"/>
        </w:rPr>
        <w:t>exercidas;</w:t>
      </w:r>
    </w:p>
    <w:p>
      <w:pPr>
        <w:pStyle w:val="BodyText"/>
        <w:spacing w:before="18"/>
      </w:pPr>
    </w:p>
    <w:p>
      <w:pPr>
        <w:pStyle w:val="ListParagraph"/>
        <w:numPr>
          <w:ilvl w:val="0"/>
          <w:numId w:val="2"/>
        </w:numPr>
        <w:tabs>
          <w:tab w:pos="318" w:val="left" w:leader="none"/>
        </w:tabs>
        <w:spacing w:line="249" w:lineRule="auto" w:before="1" w:after="0"/>
        <w:ind w:left="92" w:right="88" w:firstLine="0"/>
        <w:jc w:val="left"/>
        <w:rPr>
          <w:sz w:val="18"/>
        </w:rPr>
      </w:pPr>
      <w:r>
        <w:rPr>
          <w:sz w:val="18"/>
        </w:rPr>
        <w:t>- serviços críticos de TI: são aqueles que dão suporte aos processos críticos de trabalho e constam no catálogo de serviços de TI.</w:t>
      </w:r>
    </w:p>
    <w:p>
      <w:pPr>
        <w:pStyle w:val="BodyText"/>
        <w:spacing w:before="10"/>
      </w:pPr>
    </w:p>
    <w:p>
      <w:pPr>
        <w:pStyle w:val="Heading1"/>
        <w:spacing w:line="249" w:lineRule="auto"/>
        <w:ind w:right="8939"/>
      </w:pPr>
      <w:r>
        <w:rPr/>
        <w:t>CAPÍTULO II</w:t>
      </w:r>
      <w:r>
        <w:rPr>
          <w:spacing w:val="40"/>
        </w:rPr>
        <w:t> </w:t>
      </w:r>
      <w:r>
        <w:rPr/>
        <w:t>DOS</w:t>
      </w:r>
      <w:r>
        <w:rPr>
          <w:spacing w:val="-13"/>
        </w:rPr>
        <w:t> </w:t>
      </w:r>
      <w:r>
        <w:rPr/>
        <w:t>OBJETIVOS</w:t>
      </w:r>
    </w:p>
    <w:p>
      <w:pPr>
        <w:pStyle w:val="BodyText"/>
        <w:spacing w:before="10"/>
      </w:pPr>
    </w:p>
    <w:p>
      <w:pPr>
        <w:pStyle w:val="BodyText"/>
        <w:spacing w:before="1"/>
        <w:ind w:left="92"/>
      </w:pPr>
      <w:r>
        <w:rPr/>
        <w:t>Art 4º A PGRTI/MPAL tem por objetivo </w:t>
      </w:r>
      <w:r>
        <w:rPr>
          <w:spacing w:val="-2"/>
        </w:rPr>
        <w:t>geral:</w:t>
      </w:r>
    </w:p>
    <w:p>
      <w:pPr>
        <w:pStyle w:val="BodyText"/>
        <w:spacing w:before="17"/>
      </w:pPr>
    </w:p>
    <w:p>
      <w:pPr>
        <w:pStyle w:val="ListParagraph"/>
        <w:numPr>
          <w:ilvl w:val="0"/>
          <w:numId w:val="3"/>
        </w:numPr>
        <w:tabs>
          <w:tab w:pos="192" w:val="left" w:leader="none"/>
        </w:tabs>
        <w:spacing w:line="240" w:lineRule="auto" w:before="1" w:after="0"/>
        <w:ind w:left="192" w:right="0" w:hanging="100"/>
        <w:jc w:val="left"/>
        <w:rPr>
          <w:sz w:val="18"/>
        </w:rPr>
      </w:pPr>
      <w:r>
        <w:rPr>
          <w:sz w:val="18"/>
        </w:rPr>
        <w:t>– assegurar o alinhamento do processo de gestão de risco de TI com a gestão de risco da </w:t>
      </w:r>
      <w:r>
        <w:rPr>
          <w:spacing w:val="-2"/>
          <w:sz w:val="18"/>
        </w:rPr>
        <w:t>Instituição;</w:t>
      </w:r>
    </w:p>
    <w:p>
      <w:pPr>
        <w:pStyle w:val="BodyText"/>
        <w:spacing w:before="17"/>
      </w:pPr>
    </w:p>
    <w:p>
      <w:pPr>
        <w:pStyle w:val="ListParagraph"/>
        <w:numPr>
          <w:ilvl w:val="0"/>
          <w:numId w:val="3"/>
        </w:numPr>
        <w:tabs>
          <w:tab w:pos="251" w:val="left" w:leader="none"/>
        </w:tabs>
        <w:spacing w:line="249" w:lineRule="auto" w:before="1" w:after="0"/>
        <w:ind w:left="92" w:right="87" w:firstLine="0"/>
        <w:jc w:val="left"/>
        <w:rPr>
          <w:sz w:val="18"/>
        </w:rPr>
      </w:pPr>
      <w:r>
        <w:rPr>
          <w:sz w:val="18"/>
        </w:rPr>
        <w:t>– identificar, avaliar e reduzir continuamente o risco relacionado à TI dentro dos níveis de tolerância estabelecidos pela alta</w:t>
      </w:r>
      <w:r>
        <w:rPr>
          <w:spacing w:val="40"/>
          <w:sz w:val="18"/>
        </w:rPr>
        <w:t> </w:t>
      </w:r>
      <w:r>
        <w:rPr>
          <w:sz w:val="18"/>
        </w:rPr>
        <w:t>administração da instituição;</w:t>
      </w:r>
    </w:p>
    <w:p>
      <w:pPr>
        <w:pStyle w:val="ListParagraph"/>
        <w:numPr>
          <w:ilvl w:val="0"/>
          <w:numId w:val="3"/>
        </w:numPr>
        <w:tabs>
          <w:tab w:pos="292" w:val="left" w:leader="none"/>
        </w:tabs>
        <w:spacing w:line="432" w:lineRule="exact" w:before="40" w:after="0"/>
        <w:ind w:left="92" w:right="2255" w:firstLine="0"/>
        <w:jc w:val="left"/>
        <w:rPr>
          <w:sz w:val="18"/>
        </w:rPr>
      </w:pPr>
      <w:r>
        <w:rPr>
          <w:sz w:val="18"/>
        </w:rPr>
        <w:t>–</w:t>
      </w:r>
      <w:r>
        <w:rPr>
          <w:spacing w:val="-3"/>
          <w:sz w:val="18"/>
        </w:rPr>
        <w:t> </w:t>
      </w:r>
      <w:r>
        <w:rPr>
          <w:sz w:val="18"/>
        </w:rPr>
        <w:t>promover</w:t>
      </w:r>
      <w:r>
        <w:rPr>
          <w:spacing w:val="-3"/>
          <w:sz w:val="18"/>
        </w:rPr>
        <w:t> </w:t>
      </w:r>
      <w:r>
        <w:rPr>
          <w:sz w:val="18"/>
        </w:rPr>
        <w:t>o</w:t>
      </w:r>
      <w:r>
        <w:rPr>
          <w:spacing w:val="-3"/>
          <w:sz w:val="18"/>
        </w:rPr>
        <w:t> </w:t>
      </w:r>
      <w:r>
        <w:rPr>
          <w:sz w:val="18"/>
        </w:rPr>
        <w:t>balanceamento</w:t>
      </w:r>
      <w:r>
        <w:rPr>
          <w:spacing w:val="-3"/>
          <w:sz w:val="18"/>
        </w:rPr>
        <w:t> </w:t>
      </w:r>
      <w:r>
        <w:rPr>
          <w:sz w:val="18"/>
        </w:rPr>
        <w:t>adequado</w:t>
      </w:r>
      <w:r>
        <w:rPr>
          <w:spacing w:val="-3"/>
          <w:sz w:val="18"/>
        </w:rPr>
        <w:t> </w:t>
      </w:r>
      <w:r>
        <w:rPr>
          <w:sz w:val="18"/>
        </w:rPr>
        <w:t>entre</w:t>
      </w:r>
      <w:r>
        <w:rPr>
          <w:spacing w:val="-3"/>
          <w:sz w:val="18"/>
        </w:rPr>
        <w:t> </w:t>
      </w:r>
      <w:r>
        <w:rPr>
          <w:sz w:val="18"/>
        </w:rPr>
        <w:t>os</w:t>
      </w:r>
      <w:r>
        <w:rPr>
          <w:spacing w:val="-3"/>
          <w:sz w:val="18"/>
        </w:rPr>
        <w:t> </w:t>
      </w:r>
      <w:r>
        <w:rPr>
          <w:sz w:val="18"/>
        </w:rPr>
        <w:t>custos</w:t>
      </w:r>
      <w:r>
        <w:rPr>
          <w:spacing w:val="-3"/>
          <w:sz w:val="18"/>
        </w:rPr>
        <w:t> </w:t>
      </w:r>
      <w:r>
        <w:rPr>
          <w:sz w:val="18"/>
        </w:rPr>
        <w:t>e</w:t>
      </w:r>
      <w:r>
        <w:rPr>
          <w:spacing w:val="-3"/>
          <w:sz w:val="18"/>
        </w:rPr>
        <w:t> </w:t>
      </w:r>
      <w:r>
        <w:rPr>
          <w:sz w:val="18"/>
        </w:rPr>
        <w:t>os</w:t>
      </w:r>
      <w:r>
        <w:rPr>
          <w:spacing w:val="-3"/>
          <w:sz w:val="18"/>
        </w:rPr>
        <w:t> </w:t>
      </w:r>
      <w:r>
        <w:rPr>
          <w:sz w:val="18"/>
        </w:rPr>
        <w:t>benefícios</w:t>
      </w:r>
      <w:r>
        <w:rPr>
          <w:spacing w:val="-3"/>
          <w:sz w:val="18"/>
        </w:rPr>
        <w:t> </w:t>
      </w:r>
      <w:r>
        <w:rPr>
          <w:sz w:val="18"/>
        </w:rPr>
        <w:t>da</w:t>
      </w:r>
      <w:r>
        <w:rPr>
          <w:spacing w:val="-3"/>
          <w:sz w:val="18"/>
        </w:rPr>
        <w:t> </w:t>
      </w:r>
      <w:r>
        <w:rPr>
          <w:sz w:val="18"/>
        </w:rPr>
        <w:t>gestão</w:t>
      </w:r>
      <w:r>
        <w:rPr>
          <w:spacing w:val="-3"/>
          <w:sz w:val="18"/>
        </w:rPr>
        <w:t> </w:t>
      </w:r>
      <w:r>
        <w:rPr>
          <w:sz w:val="18"/>
        </w:rPr>
        <w:t>dos</w:t>
      </w:r>
      <w:r>
        <w:rPr>
          <w:spacing w:val="-3"/>
          <w:sz w:val="18"/>
        </w:rPr>
        <w:t> </w:t>
      </w:r>
      <w:r>
        <w:rPr>
          <w:sz w:val="18"/>
        </w:rPr>
        <w:t>riscos</w:t>
      </w:r>
      <w:r>
        <w:rPr>
          <w:spacing w:val="-3"/>
          <w:sz w:val="18"/>
        </w:rPr>
        <w:t> </w:t>
      </w:r>
      <w:r>
        <w:rPr>
          <w:sz w:val="18"/>
        </w:rPr>
        <w:t>de</w:t>
      </w:r>
      <w:r>
        <w:rPr>
          <w:spacing w:val="-3"/>
          <w:sz w:val="18"/>
        </w:rPr>
        <w:t> </w:t>
      </w:r>
      <w:r>
        <w:rPr>
          <w:sz w:val="18"/>
        </w:rPr>
        <w:t>TI. CAPÍTULO III</w:t>
      </w:r>
    </w:p>
    <w:p>
      <w:pPr>
        <w:pStyle w:val="Heading1"/>
        <w:spacing w:line="168" w:lineRule="exact"/>
      </w:pPr>
      <w:r>
        <w:rPr/>
        <w:t>DAS </w:t>
      </w:r>
      <w:r>
        <w:rPr>
          <w:spacing w:val="-2"/>
        </w:rPr>
        <w:t>DIRETRIZES</w:t>
      </w:r>
    </w:p>
    <w:p>
      <w:pPr>
        <w:pStyle w:val="BodyText"/>
        <w:spacing w:before="18"/>
      </w:pPr>
    </w:p>
    <w:p>
      <w:pPr>
        <w:pStyle w:val="BodyText"/>
        <w:ind w:left="92"/>
      </w:pPr>
      <w:r>
        <w:rPr/>
        <w:t>Art 5º A gestão de risco de TI deve </w:t>
      </w:r>
      <w:r>
        <w:rPr>
          <w:spacing w:val="-4"/>
        </w:rPr>
        <w:t>ser:</w:t>
      </w:r>
    </w:p>
    <w:p>
      <w:pPr>
        <w:pStyle w:val="BodyText"/>
        <w:spacing w:before="18"/>
      </w:pPr>
    </w:p>
    <w:p>
      <w:pPr>
        <w:pStyle w:val="ListParagraph"/>
        <w:numPr>
          <w:ilvl w:val="0"/>
          <w:numId w:val="4"/>
        </w:numPr>
        <w:tabs>
          <w:tab w:pos="192" w:val="left" w:leader="none"/>
        </w:tabs>
        <w:spacing w:line="240" w:lineRule="auto" w:before="0" w:after="0"/>
        <w:ind w:left="192" w:right="0" w:hanging="100"/>
        <w:jc w:val="left"/>
        <w:rPr>
          <w:sz w:val="18"/>
        </w:rPr>
      </w:pPr>
      <w:r>
        <w:rPr>
          <w:sz w:val="18"/>
        </w:rPr>
        <w:t>– aplicada a projetos, iniciativas e serviços críticos de </w:t>
      </w:r>
      <w:r>
        <w:rPr>
          <w:spacing w:val="-5"/>
          <w:sz w:val="18"/>
        </w:rPr>
        <w:t>TI;</w:t>
      </w:r>
    </w:p>
    <w:p>
      <w:pPr>
        <w:pStyle w:val="BodyText"/>
        <w:spacing w:before="18"/>
      </w:pPr>
    </w:p>
    <w:p>
      <w:pPr>
        <w:pStyle w:val="ListParagraph"/>
        <w:numPr>
          <w:ilvl w:val="0"/>
          <w:numId w:val="4"/>
        </w:numPr>
        <w:tabs>
          <w:tab w:pos="264" w:val="left" w:leader="none"/>
        </w:tabs>
        <w:spacing w:line="249" w:lineRule="auto" w:before="0" w:after="0"/>
        <w:ind w:left="92" w:right="84" w:firstLine="0"/>
        <w:jc w:val="left"/>
        <w:rPr>
          <w:sz w:val="18"/>
        </w:rPr>
      </w:pPr>
      <w:r>
        <w:rPr>
          <w:sz w:val="18"/>
        </w:rPr>
        <w:t>–</w:t>
      </w:r>
      <w:r>
        <w:rPr>
          <w:spacing w:val="32"/>
          <w:sz w:val="18"/>
        </w:rPr>
        <w:t> </w:t>
      </w:r>
      <w:r>
        <w:rPr>
          <w:sz w:val="18"/>
        </w:rPr>
        <w:t>incorporada</w:t>
      </w:r>
      <w:r>
        <w:rPr>
          <w:spacing w:val="32"/>
          <w:sz w:val="18"/>
        </w:rPr>
        <w:t> </w:t>
      </w:r>
      <w:r>
        <w:rPr>
          <w:sz w:val="18"/>
        </w:rPr>
        <w:t>ao</w:t>
      </w:r>
      <w:r>
        <w:rPr>
          <w:spacing w:val="32"/>
          <w:sz w:val="18"/>
        </w:rPr>
        <w:t> </w:t>
      </w:r>
      <w:r>
        <w:rPr>
          <w:sz w:val="18"/>
        </w:rPr>
        <w:t>processo</w:t>
      </w:r>
      <w:r>
        <w:rPr>
          <w:spacing w:val="32"/>
          <w:sz w:val="18"/>
        </w:rPr>
        <w:t> </w:t>
      </w:r>
      <w:r>
        <w:rPr>
          <w:sz w:val="18"/>
        </w:rPr>
        <w:t>de</w:t>
      </w:r>
      <w:r>
        <w:rPr>
          <w:spacing w:val="32"/>
          <w:sz w:val="18"/>
        </w:rPr>
        <w:t> </w:t>
      </w:r>
      <w:r>
        <w:rPr>
          <w:sz w:val="18"/>
        </w:rPr>
        <w:t>tomada</w:t>
      </w:r>
      <w:r>
        <w:rPr>
          <w:spacing w:val="32"/>
          <w:sz w:val="18"/>
        </w:rPr>
        <w:t> </w:t>
      </w:r>
      <w:r>
        <w:rPr>
          <w:sz w:val="18"/>
        </w:rPr>
        <w:t>de</w:t>
      </w:r>
      <w:r>
        <w:rPr>
          <w:spacing w:val="32"/>
          <w:sz w:val="18"/>
        </w:rPr>
        <w:t> </w:t>
      </w:r>
      <w:r>
        <w:rPr>
          <w:sz w:val="18"/>
        </w:rPr>
        <w:t>decisões</w:t>
      </w:r>
      <w:r>
        <w:rPr>
          <w:spacing w:val="32"/>
          <w:sz w:val="18"/>
        </w:rPr>
        <w:t> </w:t>
      </w:r>
      <w:r>
        <w:rPr>
          <w:sz w:val="18"/>
        </w:rPr>
        <w:t>dentro</w:t>
      </w:r>
      <w:r>
        <w:rPr>
          <w:spacing w:val="32"/>
          <w:sz w:val="18"/>
        </w:rPr>
        <w:t> </w:t>
      </w:r>
      <w:r>
        <w:rPr>
          <w:sz w:val="18"/>
        </w:rPr>
        <w:t>da</w:t>
      </w:r>
      <w:r>
        <w:rPr>
          <w:spacing w:val="32"/>
          <w:sz w:val="18"/>
        </w:rPr>
        <w:t> </w:t>
      </w:r>
      <w:r>
        <w:rPr>
          <w:sz w:val="18"/>
        </w:rPr>
        <w:t>Diretoria</w:t>
      </w:r>
      <w:r>
        <w:rPr>
          <w:spacing w:val="32"/>
          <w:sz w:val="18"/>
        </w:rPr>
        <w:t> </w:t>
      </w:r>
      <w:r>
        <w:rPr>
          <w:sz w:val="18"/>
        </w:rPr>
        <w:t>de</w:t>
      </w:r>
      <w:r>
        <w:rPr>
          <w:spacing w:val="32"/>
          <w:sz w:val="18"/>
        </w:rPr>
        <w:t> </w:t>
      </w:r>
      <w:r>
        <w:rPr>
          <w:sz w:val="18"/>
        </w:rPr>
        <w:t>Tecnologia</w:t>
      </w:r>
      <w:r>
        <w:rPr>
          <w:spacing w:val="32"/>
          <w:sz w:val="18"/>
        </w:rPr>
        <w:t> </w:t>
      </w:r>
      <w:r>
        <w:rPr>
          <w:sz w:val="18"/>
        </w:rPr>
        <w:t>da</w:t>
      </w:r>
      <w:r>
        <w:rPr>
          <w:spacing w:val="32"/>
          <w:sz w:val="18"/>
        </w:rPr>
        <w:t> </w:t>
      </w:r>
      <w:r>
        <w:rPr>
          <w:sz w:val="18"/>
        </w:rPr>
        <w:t>Informação</w:t>
      </w:r>
      <w:r>
        <w:rPr>
          <w:spacing w:val="32"/>
          <w:sz w:val="18"/>
        </w:rPr>
        <w:t> </w:t>
      </w:r>
      <w:r>
        <w:rPr>
          <w:sz w:val="18"/>
        </w:rPr>
        <w:t>–</w:t>
      </w:r>
      <w:r>
        <w:rPr>
          <w:spacing w:val="32"/>
          <w:sz w:val="18"/>
        </w:rPr>
        <w:t> </w:t>
      </w:r>
      <w:r>
        <w:rPr>
          <w:sz w:val="18"/>
        </w:rPr>
        <w:t>DTI</w:t>
      </w:r>
      <w:r>
        <w:rPr>
          <w:spacing w:val="32"/>
          <w:sz w:val="18"/>
        </w:rPr>
        <w:t> </w:t>
      </w:r>
      <w:r>
        <w:rPr>
          <w:sz w:val="18"/>
        </w:rPr>
        <w:t>e</w:t>
      </w:r>
      <w:r>
        <w:rPr>
          <w:spacing w:val="32"/>
          <w:sz w:val="18"/>
        </w:rPr>
        <w:t> </w:t>
      </w:r>
      <w:r>
        <w:rPr>
          <w:sz w:val="18"/>
        </w:rPr>
        <w:t>ao</w:t>
      </w:r>
      <w:r>
        <w:rPr>
          <w:spacing w:val="32"/>
          <w:sz w:val="18"/>
        </w:rPr>
        <w:t> </w:t>
      </w:r>
      <w:r>
        <w:rPr>
          <w:sz w:val="18"/>
        </w:rPr>
        <w:t>Comitê Estratégico de Tecnologia da Informação – CETI;</w:t>
      </w:r>
    </w:p>
    <w:p>
      <w:pPr>
        <w:pStyle w:val="BodyText"/>
        <w:spacing w:before="11"/>
      </w:pPr>
    </w:p>
    <w:p>
      <w:pPr>
        <w:pStyle w:val="Heading1"/>
      </w:pPr>
      <w:r>
        <w:rPr/>
        <w:t>CAPÍTULO </w:t>
      </w:r>
      <w:r>
        <w:rPr>
          <w:spacing w:val="-5"/>
        </w:rPr>
        <w:t>IV</w:t>
      </w:r>
    </w:p>
    <w:p>
      <w:pPr>
        <w:spacing w:before="9"/>
        <w:ind w:left="92" w:right="0" w:firstLine="0"/>
        <w:jc w:val="left"/>
        <w:rPr>
          <w:sz w:val="18"/>
        </w:rPr>
      </w:pPr>
      <w:r>
        <w:rPr>
          <w:sz w:val="18"/>
        </w:rPr>
        <w:t>DOS PAPÉIS E DAS </w:t>
      </w:r>
      <w:r>
        <w:rPr>
          <w:spacing w:val="-2"/>
          <w:sz w:val="18"/>
        </w:rPr>
        <w:t>RESPONSABILIDADES</w:t>
      </w:r>
    </w:p>
    <w:p>
      <w:pPr>
        <w:pStyle w:val="BodyText"/>
        <w:spacing w:before="18"/>
      </w:pPr>
    </w:p>
    <w:p>
      <w:pPr>
        <w:pStyle w:val="BodyText"/>
        <w:ind w:left="92"/>
      </w:pPr>
      <w:r>
        <w:rPr/>
        <w:t>Art 6º Serão responsáveis pela coordenação e gestão da PGRTI/MPAL, as seguintes instâncias institucionais, </w:t>
      </w:r>
      <w:r>
        <w:rPr>
          <w:spacing w:val="-2"/>
        </w:rPr>
        <w:t>respectivamente:</w:t>
      </w:r>
    </w:p>
    <w:p>
      <w:pPr>
        <w:pStyle w:val="BodyText"/>
        <w:spacing w:before="18"/>
      </w:pPr>
    </w:p>
    <w:p>
      <w:pPr>
        <w:pStyle w:val="ListParagraph"/>
        <w:numPr>
          <w:ilvl w:val="0"/>
          <w:numId w:val="5"/>
        </w:numPr>
        <w:tabs>
          <w:tab w:pos="192" w:val="left" w:leader="none"/>
        </w:tabs>
        <w:spacing w:line="240" w:lineRule="auto" w:before="0" w:after="0"/>
        <w:ind w:left="192" w:right="0" w:hanging="100"/>
        <w:jc w:val="left"/>
        <w:rPr>
          <w:sz w:val="18"/>
        </w:rPr>
      </w:pPr>
      <w:r>
        <w:rPr>
          <w:sz w:val="18"/>
        </w:rPr>
        <w:t>- Comitê Estratégico de Tecnologia da Informação — </w:t>
      </w:r>
      <w:r>
        <w:rPr>
          <w:spacing w:val="-2"/>
          <w:sz w:val="18"/>
        </w:rPr>
        <w:t>CETI;</w:t>
      </w:r>
    </w:p>
    <w:p>
      <w:pPr>
        <w:pStyle w:val="BodyText"/>
        <w:spacing w:before="18"/>
      </w:pPr>
    </w:p>
    <w:p>
      <w:pPr>
        <w:pStyle w:val="ListParagraph"/>
        <w:numPr>
          <w:ilvl w:val="0"/>
          <w:numId w:val="5"/>
        </w:numPr>
        <w:tabs>
          <w:tab w:pos="242" w:val="left" w:leader="none"/>
        </w:tabs>
        <w:spacing w:line="501" w:lineRule="auto" w:before="0" w:after="0"/>
        <w:ind w:left="92" w:right="1145" w:firstLine="0"/>
        <w:jc w:val="left"/>
        <w:rPr>
          <w:sz w:val="18"/>
        </w:rPr>
      </w:pPr>
      <w:r>
        <w:rPr>
          <w:sz w:val="18"/>
        </w:rPr>
        <w:t>-</w:t>
      </w:r>
      <w:r>
        <w:rPr>
          <w:spacing w:val="-3"/>
          <w:sz w:val="18"/>
        </w:rPr>
        <w:t> </w:t>
      </w:r>
      <w:r>
        <w:rPr>
          <w:sz w:val="18"/>
        </w:rPr>
        <w:t>Diretoria</w:t>
      </w:r>
      <w:r>
        <w:rPr>
          <w:spacing w:val="-3"/>
          <w:sz w:val="18"/>
        </w:rPr>
        <w:t> </w:t>
      </w:r>
      <w:r>
        <w:rPr>
          <w:sz w:val="18"/>
        </w:rPr>
        <w:t>de</w:t>
      </w:r>
      <w:r>
        <w:rPr>
          <w:spacing w:val="-3"/>
          <w:sz w:val="18"/>
        </w:rPr>
        <w:t> </w:t>
      </w:r>
      <w:r>
        <w:rPr>
          <w:sz w:val="18"/>
        </w:rPr>
        <w:t>Tecnologia</w:t>
      </w:r>
      <w:r>
        <w:rPr>
          <w:spacing w:val="-3"/>
          <w:sz w:val="18"/>
        </w:rPr>
        <w:t> </w:t>
      </w:r>
      <w:r>
        <w:rPr>
          <w:sz w:val="18"/>
        </w:rPr>
        <w:t>da</w:t>
      </w:r>
      <w:r>
        <w:rPr>
          <w:spacing w:val="-3"/>
          <w:sz w:val="18"/>
        </w:rPr>
        <w:t> </w:t>
      </w:r>
      <w:r>
        <w:rPr>
          <w:sz w:val="18"/>
        </w:rPr>
        <w:t>Informação</w:t>
      </w:r>
      <w:r>
        <w:rPr>
          <w:spacing w:val="-3"/>
          <w:sz w:val="18"/>
        </w:rPr>
        <w:t> </w:t>
      </w:r>
      <w:r>
        <w:rPr>
          <w:sz w:val="18"/>
        </w:rPr>
        <w:t>em</w:t>
      </w:r>
      <w:r>
        <w:rPr>
          <w:spacing w:val="-3"/>
          <w:sz w:val="18"/>
        </w:rPr>
        <w:t> </w:t>
      </w:r>
      <w:r>
        <w:rPr>
          <w:sz w:val="18"/>
        </w:rPr>
        <w:t>conjunto</w:t>
      </w:r>
      <w:r>
        <w:rPr>
          <w:spacing w:val="-3"/>
          <w:sz w:val="18"/>
        </w:rPr>
        <w:t> </w:t>
      </w:r>
      <w:r>
        <w:rPr>
          <w:sz w:val="18"/>
        </w:rPr>
        <w:t>com</w:t>
      </w:r>
      <w:r>
        <w:rPr>
          <w:spacing w:val="-3"/>
          <w:sz w:val="18"/>
        </w:rPr>
        <w:t> </w:t>
      </w:r>
      <w:r>
        <w:rPr>
          <w:sz w:val="18"/>
        </w:rPr>
        <w:t>as</w:t>
      </w:r>
      <w:r>
        <w:rPr>
          <w:spacing w:val="-3"/>
          <w:sz w:val="18"/>
        </w:rPr>
        <w:t> </w:t>
      </w:r>
      <w:r>
        <w:rPr>
          <w:sz w:val="18"/>
        </w:rPr>
        <w:t>seções</w:t>
      </w:r>
      <w:r>
        <w:rPr>
          <w:spacing w:val="-3"/>
          <w:sz w:val="18"/>
        </w:rPr>
        <w:t> </w:t>
      </w:r>
      <w:r>
        <w:rPr>
          <w:sz w:val="18"/>
        </w:rPr>
        <w:t>da</w:t>
      </w:r>
      <w:r>
        <w:rPr>
          <w:spacing w:val="-3"/>
          <w:sz w:val="18"/>
        </w:rPr>
        <w:t> </w:t>
      </w:r>
      <w:r>
        <w:rPr>
          <w:sz w:val="18"/>
        </w:rPr>
        <w:t>DTI</w:t>
      </w:r>
      <w:r>
        <w:rPr>
          <w:spacing w:val="-3"/>
          <w:sz w:val="18"/>
        </w:rPr>
        <w:t> </w:t>
      </w:r>
      <w:r>
        <w:rPr>
          <w:sz w:val="18"/>
        </w:rPr>
        <w:t>quanto</w:t>
      </w:r>
      <w:r>
        <w:rPr>
          <w:spacing w:val="-3"/>
          <w:sz w:val="18"/>
        </w:rPr>
        <w:t> </w:t>
      </w:r>
      <w:r>
        <w:rPr>
          <w:sz w:val="18"/>
        </w:rPr>
        <w:t>às</w:t>
      </w:r>
      <w:r>
        <w:rPr>
          <w:spacing w:val="-3"/>
          <w:sz w:val="18"/>
        </w:rPr>
        <w:t> </w:t>
      </w:r>
      <w:r>
        <w:rPr>
          <w:sz w:val="18"/>
        </w:rPr>
        <w:t>matérias</w:t>
      </w:r>
      <w:r>
        <w:rPr>
          <w:spacing w:val="-3"/>
          <w:sz w:val="18"/>
        </w:rPr>
        <w:t> </w:t>
      </w:r>
      <w:r>
        <w:rPr>
          <w:sz w:val="18"/>
        </w:rPr>
        <w:t>inerentes</w:t>
      </w:r>
      <w:r>
        <w:rPr>
          <w:spacing w:val="-3"/>
          <w:sz w:val="18"/>
        </w:rPr>
        <w:t> </w:t>
      </w:r>
      <w:r>
        <w:rPr>
          <w:sz w:val="18"/>
        </w:rPr>
        <w:t>a</w:t>
      </w:r>
      <w:r>
        <w:rPr>
          <w:spacing w:val="-3"/>
          <w:sz w:val="18"/>
        </w:rPr>
        <w:t> </w:t>
      </w:r>
      <w:r>
        <w:rPr>
          <w:sz w:val="18"/>
        </w:rPr>
        <w:t>estas. Art 7º A gestão de riscos de TI deverá:</w:t>
      </w:r>
    </w:p>
    <w:p>
      <w:pPr>
        <w:pStyle w:val="ListParagraph"/>
        <w:numPr>
          <w:ilvl w:val="0"/>
          <w:numId w:val="6"/>
        </w:numPr>
        <w:tabs>
          <w:tab w:pos="193" w:val="left" w:leader="none"/>
        </w:tabs>
        <w:spacing w:line="249" w:lineRule="auto" w:before="0" w:after="0"/>
        <w:ind w:left="92" w:right="68" w:firstLine="0"/>
        <w:jc w:val="left"/>
        <w:rPr>
          <w:sz w:val="18"/>
        </w:rPr>
      </w:pPr>
      <w:r>
        <w:rPr>
          <w:sz w:val="18"/>
        </w:rPr>
        <w:t>– escolher, justificadamente, dentre os objetos sob sua responsabilidade previstos no art. 5º, quais terão os riscos gerenciados, considerando a dimensão dos prejuízos que possam causar;</w:t>
      </w:r>
    </w:p>
    <w:p>
      <w:pPr>
        <w:pStyle w:val="ListParagraph"/>
        <w:spacing w:after="0" w:line="249" w:lineRule="auto"/>
        <w:jc w:val="left"/>
        <w:rPr>
          <w:sz w:val="18"/>
        </w:rPr>
        <w:sectPr>
          <w:pgSz w:w="11900" w:h="16840"/>
          <w:pgMar w:header="799" w:footer="725" w:top="2540" w:bottom="920" w:left="708" w:right="708"/>
        </w:sectPr>
      </w:pPr>
    </w:p>
    <w:p>
      <w:pPr>
        <w:pStyle w:val="BodyText"/>
      </w:pPr>
    </w:p>
    <w:p>
      <w:pPr>
        <w:pStyle w:val="BodyText"/>
        <w:spacing w:before="103"/>
      </w:pPr>
    </w:p>
    <w:p>
      <w:pPr>
        <w:pStyle w:val="ListParagraph"/>
        <w:numPr>
          <w:ilvl w:val="0"/>
          <w:numId w:val="6"/>
        </w:numPr>
        <w:tabs>
          <w:tab w:pos="242" w:val="left" w:leader="none"/>
        </w:tabs>
        <w:spacing w:line="240" w:lineRule="auto" w:before="0" w:after="0"/>
        <w:ind w:left="242" w:right="0" w:hanging="150"/>
        <w:jc w:val="left"/>
        <w:rPr>
          <w:sz w:val="18"/>
        </w:rPr>
      </w:pPr>
      <w:r>
        <w:rPr>
          <w:sz w:val="18"/>
        </w:rPr>
        <w:t>– assegurar que os riscos sejam gerenciados de acordo com os critérios estabelecidos neste </w:t>
      </w:r>
      <w:r>
        <w:rPr>
          <w:spacing w:val="-2"/>
          <w:sz w:val="18"/>
        </w:rPr>
        <w:t>documento;</w:t>
      </w:r>
    </w:p>
    <w:p>
      <w:pPr>
        <w:pStyle w:val="ListParagraph"/>
        <w:numPr>
          <w:ilvl w:val="0"/>
          <w:numId w:val="6"/>
        </w:numPr>
        <w:tabs>
          <w:tab w:pos="292" w:val="left" w:leader="none"/>
        </w:tabs>
        <w:spacing w:line="430" w:lineRule="atLeast" w:before="2" w:after="0"/>
        <w:ind w:left="92" w:right="2325" w:firstLine="0"/>
        <w:jc w:val="left"/>
        <w:rPr>
          <w:sz w:val="18"/>
        </w:rPr>
      </w:pPr>
      <w:r>
        <w:rPr>
          <w:sz w:val="18"/>
        </w:rPr>
        <w:t>–</w:t>
      </w:r>
      <w:r>
        <w:rPr>
          <w:spacing w:val="-3"/>
          <w:sz w:val="18"/>
        </w:rPr>
        <w:t> </w:t>
      </w:r>
      <w:r>
        <w:rPr>
          <w:sz w:val="18"/>
        </w:rPr>
        <w:t>monitorar</w:t>
      </w:r>
      <w:r>
        <w:rPr>
          <w:spacing w:val="-3"/>
          <w:sz w:val="18"/>
        </w:rPr>
        <w:t> </w:t>
      </w:r>
      <w:r>
        <w:rPr>
          <w:sz w:val="18"/>
        </w:rPr>
        <w:t>informações</w:t>
      </w:r>
      <w:r>
        <w:rPr>
          <w:spacing w:val="-3"/>
          <w:sz w:val="18"/>
        </w:rPr>
        <w:t> </w:t>
      </w:r>
      <w:r>
        <w:rPr>
          <w:sz w:val="18"/>
        </w:rPr>
        <w:t>adequadas</w:t>
      </w:r>
      <w:r>
        <w:rPr>
          <w:spacing w:val="-3"/>
          <w:sz w:val="18"/>
        </w:rPr>
        <w:t> </w:t>
      </w:r>
      <w:r>
        <w:rPr>
          <w:sz w:val="18"/>
        </w:rPr>
        <w:t>sobre</w:t>
      </w:r>
      <w:r>
        <w:rPr>
          <w:spacing w:val="-3"/>
          <w:sz w:val="18"/>
        </w:rPr>
        <w:t> </w:t>
      </w:r>
      <w:r>
        <w:rPr>
          <w:sz w:val="18"/>
        </w:rPr>
        <w:t>a</w:t>
      </w:r>
      <w:r>
        <w:rPr>
          <w:spacing w:val="-3"/>
          <w:sz w:val="18"/>
        </w:rPr>
        <w:t> </w:t>
      </w:r>
      <w:r>
        <w:rPr>
          <w:sz w:val="18"/>
        </w:rPr>
        <w:t>gestão</w:t>
      </w:r>
      <w:r>
        <w:rPr>
          <w:spacing w:val="-3"/>
          <w:sz w:val="18"/>
        </w:rPr>
        <w:t> </w:t>
      </w:r>
      <w:r>
        <w:rPr>
          <w:sz w:val="18"/>
        </w:rPr>
        <w:t>de</w:t>
      </w:r>
      <w:r>
        <w:rPr>
          <w:spacing w:val="-3"/>
          <w:sz w:val="18"/>
        </w:rPr>
        <w:t> </w:t>
      </w:r>
      <w:r>
        <w:rPr>
          <w:sz w:val="18"/>
        </w:rPr>
        <w:t>riscos</w:t>
      </w:r>
      <w:r>
        <w:rPr>
          <w:spacing w:val="-3"/>
          <w:sz w:val="18"/>
        </w:rPr>
        <w:t> </w:t>
      </w:r>
      <w:r>
        <w:rPr>
          <w:sz w:val="18"/>
        </w:rPr>
        <w:t>e</w:t>
      </w:r>
      <w:r>
        <w:rPr>
          <w:spacing w:val="-3"/>
          <w:sz w:val="18"/>
        </w:rPr>
        <w:t> </w:t>
      </w:r>
      <w:r>
        <w:rPr>
          <w:sz w:val="18"/>
        </w:rPr>
        <w:t>reportá-las</w:t>
      </w:r>
      <w:r>
        <w:rPr>
          <w:spacing w:val="-3"/>
          <w:sz w:val="18"/>
        </w:rPr>
        <w:t> </w:t>
      </w:r>
      <w:r>
        <w:rPr>
          <w:sz w:val="18"/>
        </w:rPr>
        <w:t>às</w:t>
      </w:r>
      <w:r>
        <w:rPr>
          <w:spacing w:val="-3"/>
          <w:sz w:val="18"/>
        </w:rPr>
        <w:t> </w:t>
      </w:r>
      <w:r>
        <w:rPr>
          <w:sz w:val="18"/>
        </w:rPr>
        <w:t>partes</w:t>
      </w:r>
      <w:r>
        <w:rPr>
          <w:spacing w:val="-3"/>
          <w:sz w:val="18"/>
        </w:rPr>
        <w:t> </w:t>
      </w:r>
      <w:r>
        <w:rPr>
          <w:sz w:val="18"/>
        </w:rPr>
        <w:t>interessadas. CAPÍTULO V</w:t>
      </w:r>
    </w:p>
    <w:p>
      <w:pPr>
        <w:pStyle w:val="Heading1"/>
        <w:spacing w:before="11"/>
      </w:pPr>
      <w:r>
        <w:rPr/>
        <w:t>DA GESTÃO DE RISCO DE </w:t>
      </w:r>
      <w:r>
        <w:rPr>
          <w:spacing w:val="-5"/>
        </w:rPr>
        <w:t>TI</w:t>
      </w:r>
    </w:p>
    <w:p>
      <w:pPr>
        <w:pStyle w:val="BodyText"/>
        <w:spacing w:before="18"/>
      </w:pPr>
    </w:p>
    <w:p>
      <w:pPr>
        <w:pStyle w:val="BodyText"/>
        <w:ind w:left="92"/>
      </w:pPr>
      <w:r>
        <w:rPr/>
        <w:t>Art. 8º A gestão de riscos de TI é um processo que deve ser executado considerando, no mínimo, as seguintes </w:t>
      </w:r>
      <w:r>
        <w:rPr>
          <w:spacing w:val="-2"/>
        </w:rPr>
        <w:t>etapas:</w:t>
      </w:r>
    </w:p>
    <w:p>
      <w:pPr>
        <w:pStyle w:val="BodyText"/>
        <w:spacing w:before="18"/>
      </w:pPr>
    </w:p>
    <w:p>
      <w:pPr>
        <w:pStyle w:val="ListParagraph"/>
        <w:numPr>
          <w:ilvl w:val="0"/>
          <w:numId w:val="7"/>
        </w:numPr>
        <w:tabs>
          <w:tab w:pos="216" w:val="left" w:leader="none"/>
        </w:tabs>
        <w:spacing w:line="249" w:lineRule="auto" w:before="0" w:after="0"/>
        <w:ind w:left="92" w:right="84" w:firstLine="0"/>
        <w:jc w:val="both"/>
        <w:rPr>
          <w:sz w:val="18"/>
        </w:rPr>
      </w:pPr>
      <w:r>
        <w:rPr>
          <w:sz w:val="18"/>
        </w:rPr>
        <w:t>– identificar e descrever os riscos de TI: consiste na busca, no reconhecimento e na descrição de riscos, mediante a identificação de fontes, eventos, causas e potenciais consequências. Essa ação é validada mediante registro dos riscos identificados em documento, planilha ou sistema, sempre de forma padronizada e gerenciável;</w:t>
      </w:r>
    </w:p>
    <w:p>
      <w:pPr>
        <w:pStyle w:val="BodyText"/>
        <w:spacing w:before="11"/>
      </w:pPr>
    </w:p>
    <w:p>
      <w:pPr>
        <w:pStyle w:val="ListParagraph"/>
        <w:numPr>
          <w:ilvl w:val="0"/>
          <w:numId w:val="7"/>
        </w:numPr>
        <w:tabs>
          <w:tab w:pos="244" w:val="left" w:leader="none"/>
        </w:tabs>
        <w:spacing w:line="249" w:lineRule="auto" w:before="1" w:after="0"/>
        <w:ind w:left="92" w:right="88" w:firstLine="0"/>
        <w:jc w:val="both"/>
        <w:rPr>
          <w:sz w:val="18"/>
        </w:rPr>
      </w:pPr>
      <w:r>
        <w:rPr>
          <w:sz w:val="18"/>
        </w:rPr>
        <w:t>– avaliar os riscos de TI: compreender a natureza do risco e determinar o respectivo nível de risco mediante a combinação da probabilidade de sua ocorrência e dos possíveis impactos, observando os seguintes critérios:</w:t>
      </w:r>
    </w:p>
    <w:p>
      <w:pPr>
        <w:pStyle w:val="BodyText"/>
        <w:spacing w:before="10"/>
      </w:pPr>
    </w:p>
    <w:p>
      <w:pPr>
        <w:pStyle w:val="ListParagraph"/>
        <w:numPr>
          <w:ilvl w:val="1"/>
          <w:numId w:val="7"/>
        </w:numPr>
        <w:tabs>
          <w:tab w:pos="302" w:val="left" w:leader="none"/>
        </w:tabs>
        <w:spacing w:line="240" w:lineRule="auto" w:before="0" w:after="0"/>
        <w:ind w:left="302" w:right="0" w:hanging="210"/>
        <w:jc w:val="left"/>
        <w:rPr>
          <w:sz w:val="18"/>
        </w:rPr>
      </w:pPr>
      <w:r>
        <w:rPr>
          <w:sz w:val="18"/>
        </w:rPr>
        <w:t>o risco de TI deve ser classificado quanto a sua natureza: financeira, patrimonial, ética, de imagem ou de </w:t>
      </w:r>
      <w:r>
        <w:rPr>
          <w:spacing w:val="-2"/>
          <w:sz w:val="18"/>
        </w:rPr>
        <w:t>conformidade;</w:t>
      </w:r>
    </w:p>
    <w:p>
      <w:pPr>
        <w:pStyle w:val="BodyText"/>
        <w:spacing w:before="18"/>
      </w:pPr>
    </w:p>
    <w:p>
      <w:pPr>
        <w:pStyle w:val="ListParagraph"/>
        <w:numPr>
          <w:ilvl w:val="1"/>
          <w:numId w:val="7"/>
        </w:numPr>
        <w:tabs>
          <w:tab w:pos="302" w:val="left" w:leader="none"/>
        </w:tabs>
        <w:spacing w:line="240" w:lineRule="auto" w:before="0" w:after="0"/>
        <w:ind w:left="302" w:right="0" w:hanging="210"/>
        <w:jc w:val="left"/>
        <w:rPr>
          <w:sz w:val="18"/>
        </w:rPr>
      </w:pPr>
      <w:r>
        <w:rPr>
          <w:sz w:val="18"/>
        </w:rPr>
        <w:t>a probabilidade de o risco de TI ocorrer deverá ser classificada como baixa, média e </w:t>
      </w:r>
      <w:r>
        <w:rPr>
          <w:spacing w:val="-2"/>
          <w:sz w:val="18"/>
        </w:rPr>
        <w:t>alta;</w:t>
      </w:r>
    </w:p>
    <w:p>
      <w:pPr>
        <w:pStyle w:val="BodyText"/>
        <w:spacing w:before="18"/>
      </w:pPr>
    </w:p>
    <w:p>
      <w:pPr>
        <w:pStyle w:val="ListParagraph"/>
        <w:numPr>
          <w:ilvl w:val="1"/>
          <w:numId w:val="7"/>
        </w:numPr>
        <w:tabs>
          <w:tab w:pos="291" w:val="left" w:leader="none"/>
        </w:tabs>
        <w:spacing w:line="240" w:lineRule="auto" w:before="0" w:after="0"/>
        <w:ind w:left="291" w:right="0" w:hanging="199"/>
        <w:jc w:val="left"/>
        <w:rPr>
          <w:sz w:val="18"/>
        </w:rPr>
      </w:pPr>
      <w:r>
        <w:rPr>
          <w:sz w:val="18"/>
        </w:rPr>
        <w:t>o impacto deverá ser classificado como pequeno, intermediário ou </w:t>
      </w:r>
      <w:r>
        <w:rPr>
          <w:spacing w:val="-2"/>
          <w:sz w:val="18"/>
        </w:rPr>
        <w:t>grande;</w:t>
      </w:r>
    </w:p>
    <w:p>
      <w:pPr>
        <w:pStyle w:val="BodyText"/>
        <w:spacing w:before="18"/>
      </w:pPr>
    </w:p>
    <w:p>
      <w:pPr>
        <w:pStyle w:val="ListParagraph"/>
        <w:numPr>
          <w:ilvl w:val="1"/>
          <w:numId w:val="7"/>
        </w:numPr>
        <w:tabs>
          <w:tab w:pos="302" w:val="left" w:leader="none"/>
        </w:tabs>
        <w:spacing w:line="249" w:lineRule="auto" w:before="0" w:after="0"/>
        <w:ind w:left="92" w:right="88" w:firstLine="0"/>
        <w:jc w:val="left"/>
        <w:rPr>
          <w:sz w:val="18"/>
        </w:rPr>
      </w:pPr>
      <w:r>
        <w:rPr>
          <w:sz w:val="18"/>
        </w:rPr>
        <w:t>os</w:t>
      </w:r>
      <w:r>
        <w:rPr>
          <w:spacing w:val="-1"/>
          <w:sz w:val="18"/>
        </w:rPr>
        <w:t> </w:t>
      </w:r>
      <w:r>
        <w:rPr>
          <w:sz w:val="18"/>
        </w:rPr>
        <w:t>níveis</w:t>
      </w:r>
      <w:r>
        <w:rPr>
          <w:spacing w:val="-1"/>
          <w:sz w:val="18"/>
        </w:rPr>
        <w:t> </w:t>
      </w:r>
      <w:r>
        <w:rPr>
          <w:sz w:val="18"/>
        </w:rPr>
        <w:t>de</w:t>
      </w:r>
      <w:r>
        <w:rPr>
          <w:spacing w:val="-1"/>
          <w:sz w:val="18"/>
        </w:rPr>
        <w:t> </w:t>
      </w:r>
      <w:r>
        <w:rPr>
          <w:sz w:val="18"/>
        </w:rPr>
        <w:t>riscos</w:t>
      </w:r>
      <w:r>
        <w:rPr>
          <w:spacing w:val="-1"/>
          <w:sz w:val="18"/>
        </w:rPr>
        <w:t> </w:t>
      </w:r>
      <w:r>
        <w:rPr>
          <w:sz w:val="18"/>
        </w:rPr>
        <w:t>devem</w:t>
      </w:r>
      <w:r>
        <w:rPr>
          <w:spacing w:val="-1"/>
          <w:sz w:val="18"/>
        </w:rPr>
        <w:t> </w:t>
      </w:r>
      <w:r>
        <w:rPr>
          <w:sz w:val="18"/>
        </w:rPr>
        <w:t>ser</w:t>
      </w:r>
      <w:r>
        <w:rPr>
          <w:spacing w:val="-1"/>
          <w:sz w:val="18"/>
        </w:rPr>
        <w:t> </w:t>
      </w:r>
      <w:r>
        <w:rPr>
          <w:sz w:val="18"/>
        </w:rPr>
        <w:t>classificados,</w:t>
      </w:r>
      <w:r>
        <w:rPr>
          <w:spacing w:val="-1"/>
          <w:sz w:val="18"/>
        </w:rPr>
        <w:t> </w:t>
      </w:r>
      <w:r>
        <w:rPr>
          <w:sz w:val="18"/>
        </w:rPr>
        <w:t>após</w:t>
      </w:r>
      <w:r>
        <w:rPr>
          <w:spacing w:val="-1"/>
          <w:sz w:val="18"/>
        </w:rPr>
        <w:t> </w:t>
      </w:r>
      <w:r>
        <w:rPr>
          <w:sz w:val="18"/>
        </w:rPr>
        <w:t>análise</w:t>
      </w:r>
      <w:r>
        <w:rPr>
          <w:spacing w:val="-1"/>
          <w:sz w:val="18"/>
        </w:rPr>
        <w:t> </w:t>
      </w:r>
      <w:r>
        <w:rPr>
          <w:sz w:val="18"/>
        </w:rPr>
        <w:t>da</w:t>
      </w:r>
      <w:r>
        <w:rPr>
          <w:spacing w:val="-1"/>
          <w:sz w:val="18"/>
        </w:rPr>
        <w:t> </w:t>
      </w:r>
      <w:r>
        <w:rPr>
          <w:sz w:val="18"/>
        </w:rPr>
        <w:t>combinação</w:t>
      </w:r>
      <w:r>
        <w:rPr>
          <w:spacing w:val="-1"/>
          <w:sz w:val="18"/>
        </w:rPr>
        <w:t> </w:t>
      </w:r>
      <w:r>
        <w:rPr>
          <w:sz w:val="18"/>
        </w:rPr>
        <w:t>entre</w:t>
      </w:r>
      <w:r>
        <w:rPr>
          <w:spacing w:val="-1"/>
          <w:sz w:val="18"/>
        </w:rPr>
        <w:t> </w:t>
      </w:r>
      <w:r>
        <w:rPr>
          <w:sz w:val="18"/>
        </w:rPr>
        <w:t>probabilidade</w:t>
      </w:r>
      <w:r>
        <w:rPr>
          <w:spacing w:val="-1"/>
          <w:sz w:val="18"/>
        </w:rPr>
        <w:t> </w:t>
      </w:r>
      <w:r>
        <w:rPr>
          <w:sz w:val="18"/>
        </w:rPr>
        <w:t>e</w:t>
      </w:r>
      <w:r>
        <w:rPr>
          <w:spacing w:val="-1"/>
          <w:sz w:val="18"/>
        </w:rPr>
        <w:t> </w:t>
      </w:r>
      <w:r>
        <w:rPr>
          <w:sz w:val="18"/>
        </w:rPr>
        <w:t>impacto,</w:t>
      </w:r>
      <w:r>
        <w:rPr>
          <w:spacing w:val="-1"/>
          <w:sz w:val="18"/>
        </w:rPr>
        <w:t> </w:t>
      </w:r>
      <w:r>
        <w:rPr>
          <w:sz w:val="18"/>
        </w:rPr>
        <w:t>como</w:t>
      </w:r>
      <w:r>
        <w:rPr>
          <w:spacing w:val="-1"/>
          <w:sz w:val="18"/>
        </w:rPr>
        <w:t> </w:t>
      </w:r>
      <w:r>
        <w:rPr>
          <w:sz w:val="18"/>
        </w:rPr>
        <w:t>sendo</w:t>
      </w:r>
      <w:r>
        <w:rPr>
          <w:spacing w:val="-1"/>
          <w:sz w:val="18"/>
        </w:rPr>
        <w:t> </w:t>
      </w:r>
      <w:r>
        <w:rPr>
          <w:sz w:val="18"/>
        </w:rPr>
        <w:t>de</w:t>
      </w:r>
      <w:r>
        <w:rPr>
          <w:spacing w:val="-1"/>
          <w:sz w:val="18"/>
        </w:rPr>
        <w:t> </w:t>
      </w:r>
      <w:r>
        <w:rPr>
          <w:sz w:val="18"/>
        </w:rPr>
        <w:t>baixa gravidade, média gravidade ou alta gravidade.</w:t>
      </w:r>
    </w:p>
    <w:p>
      <w:pPr>
        <w:pStyle w:val="BodyText"/>
        <w:spacing w:before="11"/>
      </w:pPr>
    </w:p>
    <w:p>
      <w:pPr>
        <w:pStyle w:val="ListParagraph"/>
        <w:numPr>
          <w:ilvl w:val="0"/>
          <w:numId w:val="7"/>
        </w:numPr>
        <w:tabs>
          <w:tab w:pos="292" w:val="left" w:leader="none"/>
        </w:tabs>
        <w:spacing w:line="249" w:lineRule="auto" w:before="0" w:after="0"/>
        <w:ind w:left="92" w:right="89" w:firstLine="0"/>
        <w:jc w:val="both"/>
        <w:rPr>
          <w:sz w:val="18"/>
        </w:rPr>
      </w:pPr>
      <w:r>
        <w:rPr>
          <w:sz w:val="18"/>
        </w:rPr>
        <w:t>–</w:t>
      </w:r>
      <w:r>
        <w:rPr>
          <w:spacing w:val="-2"/>
          <w:sz w:val="18"/>
        </w:rPr>
        <w:t> </w:t>
      </w:r>
      <w:r>
        <w:rPr>
          <w:sz w:val="18"/>
        </w:rPr>
        <w:t>tratar</w:t>
      </w:r>
      <w:r>
        <w:rPr>
          <w:spacing w:val="-2"/>
          <w:sz w:val="18"/>
        </w:rPr>
        <w:t> </w:t>
      </w:r>
      <w:r>
        <w:rPr>
          <w:sz w:val="18"/>
        </w:rPr>
        <w:t>os</w:t>
      </w:r>
      <w:r>
        <w:rPr>
          <w:spacing w:val="-2"/>
          <w:sz w:val="18"/>
        </w:rPr>
        <w:t> </w:t>
      </w:r>
      <w:r>
        <w:rPr>
          <w:sz w:val="18"/>
        </w:rPr>
        <w:t>riscos</w:t>
      </w:r>
      <w:r>
        <w:rPr>
          <w:spacing w:val="-2"/>
          <w:sz w:val="18"/>
        </w:rPr>
        <w:t> </w:t>
      </w:r>
      <w:r>
        <w:rPr>
          <w:sz w:val="18"/>
        </w:rPr>
        <w:t>de</w:t>
      </w:r>
      <w:r>
        <w:rPr>
          <w:spacing w:val="-2"/>
          <w:sz w:val="18"/>
        </w:rPr>
        <w:t> </w:t>
      </w:r>
      <w:r>
        <w:rPr>
          <w:sz w:val="18"/>
        </w:rPr>
        <w:t>TI:</w:t>
      </w:r>
      <w:r>
        <w:rPr>
          <w:spacing w:val="-2"/>
          <w:sz w:val="18"/>
        </w:rPr>
        <w:t> </w:t>
      </w:r>
      <w:r>
        <w:rPr>
          <w:sz w:val="18"/>
        </w:rPr>
        <w:t>consiste</w:t>
      </w:r>
      <w:r>
        <w:rPr>
          <w:spacing w:val="-2"/>
          <w:sz w:val="18"/>
        </w:rPr>
        <w:t> </w:t>
      </w:r>
      <w:r>
        <w:rPr>
          <w:sz w:val="18"/>
        </w:rPr>
        <w:t>na</w:t>
      </w:r>
      <w:r>
        <w:rPr>
          <w:spacing w:val="-2"/>
          <w:sz w:val="18"/>
        </w:rPr>
        <w:t> </w:t>
      </w:r>
      <w:r>
        <w:rPr>
          <w:sz w:val="18"/>
        </w:rPr>
        <w:t>seleção</w:t>
      </w:r>
      <w:r>
        <w:rPr>
          <w:spacing w:val="-2"/>
          <w:sz w:val="18"/>
        </w:rPr>
        <w:t> </w:t>
      </w:r>
      <w:r>
        <w:rPr>
          <w:sz w:val="18"/>
        </w:rPr>
        <w:t>e</w:t>
      </w:r>
      <w:r>
        <w:rPr>
          <w:spacing w:val="-2"/>
          <w:sz w:val="18"/>
        </w:rPr>
        <w:t> </w:t>
      </w:r>
      <w:r>
        <w:rPr>
          <w:sz w:val="18"/>
        </w:rPr>
        <w:t>na</w:t>
      </w:r>
      <w:r>
        <w:rPr>
          <w:spacing w:val="-2"/>
          <w:sz w:val="18"/>
        </w:rPr>
        <w:t> </w:t>
      </w:r>
      <w:r>
        <w:rPr>
          <w:sz w:val="18"/>
        </w:rPr>
        <w:t>implementação</w:t>
      </w:r>
      <w:r>
        <w:rPr>
          <w:spacing w:val="-2"/>
          <w:sz w:val="18"/>
        </w:rPr>
        <w:t> </w:t>
      </w:r>
      <w:r>
        <w:rPr>
          <w:sz w:val="18"/>
        </w:rPr>
        <w:t>de</w:t>
      </w:r>
      <w:r>
        <w:rPr>
          <w:spacing w:val="-2"/>
          <w:sz w:val="18"/>
        </w:rPr>
        <w:t> </w:t>
      </w:r>
      <w:r>
        <w:rPr>
          <w:sz w:val="18"/>
        </w:rPr>
        <w:t>uma</w:t>
      </w:r>
      <w:r>
        <w:rPr>
          <w:spacing w:val="-2"/>
          <w:sz w:val="18"/>
        </w:rPr>
        <w:t> </w:t>
      </w:r>
      <w:r>
        <w:rPr>
          <w:sz w:val="18"/>
        </w:rPr>
        <w:t>ou</w:t>
      </w:r>
      <w:r>
        <w:rPr>
          <w:spacing w:val="-2"/>
          <w:sz w:val="18"/>
        </w:rPr>
        <w:t> </w:t>
      </w:r>
      <w:r>
        <w:rPr>
          <w:sz w:val="18"/>
        </w:rPr>
        <w:t>mais</w:t>
      </w:r>
      <w:r>
        <w:rPr>
          <w:spacing w:val="-2"/>
          <w:sz w:val="18"/>
        </w:rPr>
        <w:t> </w:t>
      </w:r>
      <w:r>
        <w:rPr>
          <w:sz w:val="18"/>
        </w:rPr>
        <w:t>ações</w:t>
      </w:r>
      <w:r>
        <w:rPr>
          <w:spacing w:val="-2"/>
          <w:sz w:val="18"/>
        </w:rPr>
        <w:t> </w:t>
      </w:r>
      <w:r>
        <w:rPr>
          <w:sz w:val="18"/>
        </w:rPr>
        <w:t>de</w:t>
      </w:r>
      <w:r>
        <w:rPr>
          <w:spacing w:val="-2"/>
          <w:sz w:val="18"/>
        </w:rPr>
        <w:t> </w:t>
      </w:r>
      <w:r>
        <w:rPr>
          <w:sz w:val="18"/>
        </w:rPr>
        <w:t>tratamento,</w:t>
      </w:r>
      <w:r>
        <w:rPr>
          <w:spacing w:val="-2"/>
          <w:sz w:val="18"/>
        </w:rPr>
        <w:t> </w:t>
      </w:r>
      <w:r>
        <w:rPr>
          <w:sz w:val="18"/>
        </w:rPr>
        <w:t>que</w:t>
      </w:r>
      <w:r>
        <w:rPr>
          <w:spacing w:val="-2"/>
          <w:sz w:val="18"/>
        </w:rPr>
        <w:t> </w:t>
      </w:r>
      <w:r>
        <w:rPr>
          <w:sz w:val="18"/>
        </w:rPr>
        <w:t>terão</w:t>
      </w:r>
      <w:r>
        <w:rPr>
          <w:spacing w:val="-2"/>
          <w:sz w:val="18"/>
        </w:rPr>
        <w:t> </w:t>
      </w:r>
      <w:r>
        <w:rPr>
          <w:sz w:val="18"/>
        </w:rPr>
        <w:t>o</w:t>
      </w:r>
      <w:r>
        <w:rPr>
          <w:spacing w:val="-2"/>
          <w:sz w:val="18"/>
        </w:rPr>
        <w:t> </w:t>
      </w:r>
      <w:r>
        <w:rPr>
          <w:sz w:val="18"/>
        </w:rPr>
        <w:t>objetivo</w:t>
      </w:r>
      <w:r>
        <w:rPr>
          <w:spacing w:val="-2"/>
          <w:sz w:val="18"/>
        </w:rPr>
        <w:t> </w:t>
      </w:r>
      <w:r>
        <w:rPr>
          <w:sz w:val="18"/>
        </w:rPr>
        <w:t>de evitar, mitigar, transferir ou aceitar o risco;</w:t>
      </w:r>
    </w:p>
    <w:p>
      <w:pPr>
        <w:pStyle w:val="BodyText"/>
        <w:spacing w:before="10"/>
      </w:pPr>
    </w:p>
    <w:p>
      <w:pPr>
        <w:pStyle w:val="ListParagraph"/>
        <w:numPr>
          <w:ilvl w:val="0"/>
          <w:numId w:val="7"/>
        </w:numPr>
        <w:tabs>
          <w:tab w:pos="321" w:val="left" w:leader="none"/>
        </w:tabs>
        <w:spacing w:line="249" w:lineRule="auto" w:before="0" w:after="0"/>
        <w:ind w:left="92" w:right="87" w:firstLine="0"/>
        <w:jc w:val="both"/>
        <w:rPr>
          <w:sz w:val="18"/>
        </w:rPr>
      </w:pPr>
      <w:r>
        <w:rPr>
          <w:sz w:val="18"/>
        </w:rPr>
        <w:t>- as propostas de tratamento dos riscos de TI devem ser aprovadas pelo CETI, quando tratarem de projetos, iniciativas ou serviços que deem suporte aos processos críticos de trabalho, ou pelo Diretor de TI nos demais casos;</w:t>
      </w:r>
    </w:p>
    <w:p>
      <w:pPr>
        <w:pStyle w:val="BodyText"/>
        <w:spacing w:before="11"/>
      </w:pPr>
    </w:p>
    <w:p>
      <w:pPr>
        <w:pStyle w:val="ListParagraph"/>
        <w:numPr>
          <w:ilvl w:val="0"/>
          <w:numId w:val="7"/>
        </w:numPr>
        <w:tabs>
          <w:tab w:pos="268" w:val="left" w:leader="none"/>
        </w:tabs>
        <w:spacing w:line="249" w:lineRule="auto" w:before="0" w:after="0"/>
        <w:ind w:left="92" w:right="87" w:firstLine="0"/>
        <w:jc w:val="both"/>
        <w:rPr>
          <w:sz w:val="18"/>
        </w:rPr>
      </w:pPr>
      <w:r>
        <w:rPr>
          <w:sz w:val="18"/>
        </w:rPr>
        <w:t>– monitorar e comunicar: verificar continuamente se os riscos se concretizaram, se as ações de tratamento propostas foram executadas,</w:t>
      </w:r>
      <w:r>
        <w:rPr>
          <w:spacing w:val="-1"/>
          <w:sz w:val="18"/>
        </w:rPr>
        <w:t> </w:t>
      </w:r>
      <w:r>
        <w:rPr>
          <w:sz w:val="18"/>
        </w:rPr>
        <w:t>se</w:t>
      </w:r>
      <w:r>
        <w:rPr>
          <w:spacing w:val="-1"/>
          <w:sz w:val="18"/>
        </w:rPr>
        <w:t> </w:t>
      </w:r>
      <w:r>
        <w:rPr>
          <w:sz w:val="18"/>
        </w:rPr>
        <w:t>houve</w:t>
      </w:r>
      <w:r>
        <w:rPr>
          <w:spacing w:val="-1"/>
          <w:sz w:val="18"/>
        </w:rPr>
        <w:t> </w:t>
      </w:r>
      <w:r>
        <w:rPr>
          <w:sz w:val="18"/>
        </w:rPr>
        <w:t>sucesso</w:t>
      </w:r>
      <w:r>
        <w:rPr>
          <w:spacing w:val="-1"/>
          <w:sz w:val="18"/>
        </w:rPr>
        <w:t> </w:t>
      </w:r>
      <w:r>
        <w:rPr>
          <w:sz w:val="18"/>
        </w:rPr>
        <w:t>no</w:t>
      </w:r>
      <w:r>
        <w:rPr>
          <w:spacing w:val="-1"/>
          <w:sz w:val="18"/>
        </w:rPr>
        <w:t> </w:t>
      </w:r>
      <w:r>
        <w:rPr>
          <w:sz w:val="18"/>
        </w:rPr>
        <w:t>tratamento</w:t>
      </w:r>
      <w:r>
        <w:rPr>
          <w:spacing w:val="-1"/>
          <w:sz w:val="18"/>
        </w:rPr>
        <w:t> </w:t>
      </w:r>
      <w:r>
        <w:rPr>
          <w:sz w:val="18"/>
        </w:rPr>
        <w:t>ou</w:t>
      </w:r>
      <w:r>
        <w:rPr>
          <w:spacing w:val="-1"/>
          <w:sz w:val="18"/>
        </w:rPr>
        <w:t> </w:t>
      </w:r>
      <w:r>
        <w:rPr>
          <w:sz w:val="18"/>
        </w:rPr>
        <w:t>na</w:t>
      </w:r>
      <w:r>
        <w:rPr>
          <w:spacing w:val="-1"/>
          <w:sz w:val="18"/>
        </w:rPr>
        <w:t> </w:t>
      </w:r>
      <w:r>
        <w:rPr>
          <w:sz w:val="18"/>
        </w:rPr>
        <w:t>mitigação</w:t>
      </w:r>
      <w:r>
        <w:rPr>
          <w:spacing w:val="-1"/>
          <w:sz w:val="18"/>
        </w:rPr>
        <w:t> </w:t>
      </w:r>
      <w:r>
        <w:rPr>
          <w:sz w:val="18"/>
        </w:rPr>
        <w:t>dos</w:t>
      </w:r>
      <w:r>
        <w:rPr>
          <w:spacing w:val="-1"/>
          <w:sz w:val="18"/>
        </w:rPr>
        <w:t> </w:t>
      </w:r>
      <w:r>
        <w:rPr>
          <w:sz w:val="18"/>
        </w:rPr>
        <w:t>riscos</w:t>
      </w:r>
      <w:r>
        <w:rPr>
          <w:spacing w:val="-1"/>
          <w:sz w:val="18"/>
        </w:rPr>
        <w:t> </w:t>
      </w:r>
      <w:r>
        <w:rPr>
          <w:sz w:val="18"/>
        </w:rPr>
        <w:t>de</w:t>
      </w:r>
      <w:r>
        <w:rPr>
          <w:spacing w:val="-1"/>
          <w:sz w:val="18"/>
        </w:rPr>
        <w:t> </w:t>
      </w:r>
      <w:r>
        <w:rPr>
          <w:sz w:val="18"/>
        </w:rPr>
        <w:t>TI</w:t>
      </w:r>
      <w:r>
        <w:rPr>
          <w:spacing w:val="-1"/>
          <w:sz w:val="18"/>
        </w:rPr>
        <w:t> </w:t>
      </w:r>
      <w:r>
        <w:rPr>
          <w:sz w:val="18"/>
        </w:rPr>
        <w:t>e</w:t>
      </w:r>
      <w:r>
        <w:rPr>
          <w:spacing w:val="-1"/>
          <w:sz w:val="18"/>
        </w:rPr>
        <w:t> </w:t>
      </w:r>
      <w:r>
        <w:rPr>
          <w:sz w:val="18"/>
        </w:rPr>
        <w:t>comunicar</w:t>
      </w:r>
      <w:r>
        <w:rPr>
          <w:spacing w:val="-1"/>
          <w:sz w:val="18"/>
        </w:rPr>
        <w:t> </w:t>
      </w:r>
      <w:r>
        <w:rPr>
          <w:sz w:val="18"/>
        </w:rPr>
        <w:t>os</w:t>
      </w:r>
      <w:r>
        <w:rPr>
          <w:spacing w:val="-1"/>
          <w:sz w:val="18"/>
        </w:rPr>
        <w:t> </w:t>
      </w:r>
      <w:r>
        <w:rPr>
          <w:sz w:val="18"/>
        </w:rPr>
        <w:t>resultados</w:t>
      </w:r>
      <w:r>
        <w:rPr>
          <w:spacing w:val="-1"/>
          <w:sz w:val="18"/>
        </w:rPr>
        <w:t> </w:t>
      </w:r>
      <w:r>
        <w:rPr>
          <w:sz w:val="18"/>
        </w:rPr>
        <w:t>às</w:t>
      </w:r>
      <w:r>
        <w:rPr>
          <w:spacing w:val="-1"/>
          <w:sz w:val="18"/>
        </w:rPr>
        <w:t> </w:t>
      </w:r>
      <w:r>
        <w:rPr>
          <w:sz w:val="18"/>
        </w:rPr>
        <w:t>partes</w:t>
      </w:r>
      <w:r>
        <w:rPr>
          <w:spacing w:val="-1"/>
          <w:sz w:val="18"/>
        </w:rPr>
        <w:t> </w:t>
      </w:r>
      <w:r>
        <w:rPr>
          <w:sz w:val="18"/>
        </w:rPr>
        <w:t>interessadas com base nos critérios a seguir:</w:t>
      </w:r>
    </w:p>
    <w:p>
      <w:pPr>
        <w:pStyle w:val="BodyText"/>
        <w:spacing w:before="11"/>
      </w:pPr>
    </w:p>
    <w:p>
      <w:pPr>
        <w:pStyle w:val="ListParagraph"/>
        <w:numPr>
          <w:ilvl w:val="1"/>
          <w:numId w:val="7"/>
        </w:numPr>
        <w:tabs>
          <w:tab w:pos="302" w:val="left" w:leader="none"/>
        </w:tabs>
        <w:spacing w:line="240" w:lineRule="auto" w:before="0" w:after="0"/>
        <w:ind w:left="302" w:right="0" w:hanging="210"/>
        <w:jc w:val="left"/>
        <w:rPr>
          <w:sz w:val="18"/>
        </w:rPr>
      </w:pPr>
      <w:r>
        <w:rPr>
          <w:sz w:val="18"/>
        </w:rPr>
        <w:t>a comunicação deve ser periódica e por meio da apresentação de </w:t>
      </w:r>
      <w:r>
        <w:rPr>
          <w:spacing w:val="-2"/>
          <w:sz w:val="18"/>
        </w:rPr>
        <w:t>relatório;</w:t>
      </w:r>
    </w:p>
    <w:p>
      <w:pPr>
        <w:pStyle w:val="BodyText"/>
        <w:spacing w:before="18"/>
      </w:pPr>
    </w:p>
    <w:p>
      <w:pPr>
        <w:pStyle w:val="ListParagraph"/>
        <w:numPr>
          <w:ilvl w:val="1"/>
          <w:numId w:val="7"/>
        </w:numPr>
        <w:tabs>
          <w:tab w:pos="302" w:val="left" w:leader="none"/>
        </w:tabs>
        <w:spacing w:line="240" w:lineRule="auto" w:before="0" w:after="0"/>
        <w:ind w:left="302" w:right="0" w:hanging="210"/>
        <w:jc w:val="left"/>
        <w:rPr>
          <w:sz w:val="18"/>
        </w:rPr>
      </w:pPr>
      <w:r>
        <w:rPr>
          <w:sz w:val="18"/>
        </w:rPr>
        <w:t>a frequência da comunicação deve ser definida junto com as partes </w:t>
      </w:r>
      <w:r>
        <w:rPr>
          <w:spacing w:val="-2"/>
          <w:sz w:val="18"/>
        </w:rPr>
        <w:t>interessadas.</w:t>
      </w:r>
    </w:p>
    <w:p>
      <w:pPr>
        <w:pStyle w:val="BodyText"/>
        <w:spacing w:before="18"/>
      </w:pPr>
    </w:p>
    <w:p>
      <w:pPr>
        <w:pStyle w:val="ListParagraph"/>
        <w:numPr>
          <w:ilvl w:val="0"/>
          <w:numId w:val="7"/>
        </w:numPr>
        <w:tabs>
          <w:tab w:pos="323" w:val="left" w:leader="none"/>
        </w:tabs>
        <w:spacing w:line="249" w:lineRule="auto" w:before="0" w:after="0"/>
        <w:ind w:left="92" w:right="86" w:firstLine="0"/>
        <w:jc w:val="both"/>
        <w:rPr>
          <w:sz w:val="18"/>
        </w:rPr>
      </w:pPr>
      <w:r>
        <w:rPr>
          <w:sz w:val="18"/>
        </w:rPr>
        <w:t>– melhorar continuamente: a partir da análise dos resultados do monitoramento, propor, quando for necessário, melhorias para a gestão dos riscos, considerando que:</w:t>
      </w:r>
    </w:p>
    <w:p>
      <w:pPr>
        <w:pStyle w:val="BodyText"/>
        <w:spacing w:before="10"/>
      </w:pPr>
    </w:p>
    <w:p>
      <w:pPr>
        <w:pStyle w:val="ListParagraph"/>
        <w:numPr>
          <w:ilvl w:val="1"/>
          <w:numId w:val="7"/>
        </w:numPr>
        <w:tabs>
          <w:tab w:pos="302" w:val="left" w:leader="none"/>
        </w:tabs>
        <w:spacing w:line="240" w:lineRule="auto" w:before="0" w:after="0"/>
        <w:ind w:left="302" w:right="0" w:hanging="210"/>
        <w:jc w:val="left"/>
        <w:rPr>
          <w:sz w:val="18"/>
        </w:rPr>
      </w:pPr>
      <w:r>
        <w:rPr>
          <w:sz w:val="18"/>
        </w:rPr>
        <w:t>riscos antes aceitáveis, por exemplo, podem ser reclassificados e tratados com outras </w:t>
      </w:r>
      <w:r>
        <w:rPr>
          <w:spacing w:val="-2"/>
          <w:sz w:val="18"/>
        </w:rPr>
        <w:t>ações;</w:t>
      </w:r>
    </w:p>
    <w:p>
      <w:pPr>
        <w:pStyle w:val="BodyText"/>
        <w:spacing w:before="18"/>
      </w:pPr>
    </w:p>
    <w:p>
      <w:pPr>
        <w:pStyle w:val="ListParagraph"/>
        <w:numPr>
          <w:ilvl w:val="1"/>
          <w:numId w:val="7"/>
        </w:numPr>
        <w:tabs>
          <w:tab w:pos="302" w:val="left" w:leader="none"/>
        </w:tabs>
        <w:spacing w:line="240" w:lineRule="auto" w:before="1" w:after="0"/>
        <w:ind w:left="302" w:right="0" w:hanging="210"/>
        <w:jc w:val="left"/>
        <w:rPr>
          <w:sz w:val="18"/>
        </w:rPr>
      </w:pPr>
      <w:r>
        <w:rPr>
          <w:sz w:val="18"/>
        </w:rPr>
        <w:t>novos riscos podem ser identificados e </w:t>
      </w:r>
      <w:r>
        <w:rPr>
          <w:spacing w:val="-2"/>
          <w:sz w:val="18"/>
        </w:rPr>
        <w:t>gerenciados.</w:t>
      </w:r>
    </w:p>
    <w:p>
      <w:pPr>
        <w:pStyle w:val="BodyText"/>
        <w:spacing w:before="17"/>
      </w:pPr>
    </w:p>
    <w:p>
      <w:pPr>
        <w:pStyle w:val="Heading1"/>
        <w:spacing w:before="1"/>
      </w:pPr>
      <w:r>
        <w:rPr/>
        <w:t>CAPÍTULO </w:t>
      </w:r>
      <w:r>
        <w:rPr>
          <w:spacing w:val="-5"/>
        </w:rPr>
        <w:t>VI</w:t>
      </w:r>
    </w:p>
    <w:p>
      <w:pPr>
        <w:spacing w:before="9"/>
        <w:ind w:left="92" w:right="0" w:firstLine="0"/>
        <w:jc w:val="left"/>
        <w:rPr>
          <w:sz w:val="18"/>
        </w:rPr>
      </w:pPr>
      <w:r>
        <w:rPr>
          <w:sz w:val="18"/>
        </w:rPr>
        <w:t>DAS DISPOSIÇÕES </w:t>
      </w:r>
      <w:r>
        <w:rPr>
          <w:spacing w:val="-2"/>
          <w:sz w:val="18"/>
        </w:rPr>
        <w:t>FINAIS</w:t>
      </w:r>
    </w:p>
    <w:p>
      <w:pPr>
        <w:pStyle w:val="BodyText"/>
        <w:spacing w:before="17"/>
      </w:pPr>
    </w:p>
    <w:p>
      <w:pPr>
        <w:pStyle w:val="BodyText"/>
        <w:spacing w:before="1"/>
        <w:ind w:left="92"/>
      </w:pPr>
      <w:r>
        <w:rPr/>
        <w:t>Art. 9º O CETI, em conjunto com a DTI, promoverá ações e estratégias </w:t>
      </w:r>
      <w:r>
        <w:rPr>
          <w:spacing w:val="-2"/>
        </w:rPr>
        <w:t>para:</w:t>
      </w:r>
    </w:p>
    <w:p>
      <w:pPr>
        <w:pStyle w:val="BodyText"/>
        <w:spacing w:before="17"/>
      </w:pPr>
    </w:p>
    <w:p>
      <w:pPr>
        <w:pStyle w:val="ListParagraph"/>
        <w:numPr>
          <w:ilvl w:val="2"/>
          <w:numId w:val="7"/>
        </w:numPr>
        <w:tabs>
          <w:tab w:pos="205" w:val="left" w:leader="none"/>
        </w:tabs>
        <w:spacing w:line="249" w:lineRule="auto" w:before="1" w:after="0"/>
        <w:ind w:left="92" w:right="89" w:firstLine="0"/>
        <w:jc w:val="both"/>
        <w:rPr>
          <w:sz w:val="18"/>
        </w:rPr>
      </w:pPr>
      <w:r>
        <w:rPr>
          <w:sz w:val="18"/>
        </w:rPr>
        <w:t>- sensibilização da instituição quanto à importância da gestão de riscos de TI, pela adoção de boas práticas de TI, para o alcance dos objetivos estratégicos, em parceria com a Diretoria Geral e demais setores das áreas finalísticas e estruturantes;</w:t>
      </w:r>
    </w:p>
    <w:p>
      <w:pPr>
        <w:pStyle w:val="BodyText"/>
        <w:spacing w:before="10"/>
      </w:pPr>
    </w:p>
    <w:p>
      <w:pPr>
        <w:pStyle w:val="ListParagraph"/>
        <w:numPr>
          <w:ilvl w:val="2"/>
          <w:numId w:val="7"/>
        </w:numPr>
        <w:tabs>
          <w:tab w:pos="254" w:val="left" w:leader="none"/>
        </w:tabs>
        <w:spacing w:line="249" w:lineRule="auto" w:before="0" w:after="0"/>
        <w:ind w:left="92" w:right="88" w:firstLine="0"/>
        <w:jc w:val="both"/>
        <w:rPr>
          <w:sz w:val="18"/>
        </w:rPr>
      </w:pPr>
      <w:r>
        <w:rPr>
          <w:sz w:val="18"/>
        </w:rPr>
        <w:t>- comunicação visando ampliar a participação e a transparência das diversas ações relacionadas à TI na instituição com o apoio da Diretoria de Comunicação Social;</w:t>
      </w:r>
    </w:p>
    <w:p>
      <w:pPr>
        <w:pStyle w:val="BodyText"/>
        <w:spacing w:before="10"/>
      </w:pPr>
    </w:p>
    <w:p>
      <w:pPr>
        <w:pStyle w:val="ListParagraph"/>
        <w:numPr>
          <w:ilvl w:val="2"/>
          <w:numId w:val="7"/>
        </w:numPr>
        <w:tabs>
          <w:tab w:pos="293" w:val="left" w:leader="none"/>
        </w:tabs>
        <w:spacing w:line="240" w:lineRule="auto" w:before="1" w:after="0"/>
        <w:ind w:left="293" w:right="0" w:hanging="201"/>
        <w:jc w:val="left"/>
        <w:rPr>
          <w:sz w:val="18"/>
        </w:rPr>
      </w:pPr>
      <w:r>
        <w:rPr>
          <w:sz w:val="18"/>
        </w:rPr>
        <w:t>-</w:t>
      </w:r>
      <w:r>
        <w:rPr>
          <w:spacing w:val="1"/>
          <w:sz w:val="18"/>
        </w:rPr>
        <w:t> </w:t>
      </w:r>
      <w:r>
        <w:rPr>
          <w:sz w:val="18"/>
        </w:rPr>
        <w:t>treinamento</w:t>
      </w:r>
      <w:r>
        <w:rPr>
          <w:spacing w:val="1"/>
          <w:sz w:val="18"/>
        </w:rPr>
        <w:t> </w:t>
      </w:r>
      <w:r>
        <w:rPr>
          <w:sz w:val="18"/>
        </w:rPr>
        <w:t>contínuo</w:t>
      </w:r>
      <w:r>
        <w:rPr>
          <w:spacing w:val="1"/>
          <w:sz w:val="18"/>
        </w:rPr>
        <w:t> </w:t>
      </w:r>
      <w:r>
        <w:rPr>
          <w:sz w:val="18"/>
        </w:rPr>
        <w:t>dos</w:t>
      </w:r>
      <w:r>
        <w:rPr>
          <w:spacing w:val="1"/>
          <w:sz w:val="18"/>
        </w:rPr>
        <w:t> </w:t>
      </w:r>
      <w:r>
        <w:rPr>
          <w:sz w:val="18"/>
        </w:rPr>
        <w:t>usuários</w:t>
      </w:r>
      <w:r>
        <w:rPr>
          <w:spacing w:val="1"/>
          <w:sz w:val="18"/>
        </w:rPr>
        <w:t> </w:t>
      </w:r>
      <w:r>
        <w:rPr>
          <w:sz w:val="18"/>
        </w:rPr>
        <w:t>em</w:t>
      </w:r>
      <w:r>
        <w:rPr>
          <w:spacing w:val="1"/>
          <w:sz w:val="18"/>
        </w:rPr>
        <w:t> </w:t>
      </w:r>
      <w:r>
        <w:rPr>
          <w:sz w:val="18"/>
        </w:rPr>
        <w:t>serviços</w:t>
      </w:r>
      <w:r>
        <w:rPr>
          <w:spacing w:val="1"/>
          <w:sz w:val="18"/>
        </w:rPr>
        <w:t> </w:t>
      </w:r>
      <w:r>
        <w:rPr>
          <w:sz w:val="18"/>
        </w:rPr>
        <w:t>de</w:t>
      </w:r>
      <w:r>
        <w:rPr>
          <w:spacing w:val="1"/>
          <w:sz w:val="18"/>
        </w:rPr>
        <w:t> </w:t>
      </w:r>
      <w:r>
        <w:rPr>
          <w:sz w:val="18"/>
        </w:rPr>
        <w:t>TI</w:t>
      </w:r>
      <w:r>
        <w:rPr>
          <w:spacing w:val="1"/>
          <w:sz w:val="18"/>
        </w:rPr>
        <w:t> </w:t>
      </w:r>
      <w:r>
        <w:rPr>
          <w:sz w:val="18"/>
        </w:rPr>
        <w:t>em</w:t>
      </w:r>
      <w:r>
        <w:rPr>
          <w:spacing w:val="1"/>
          <w:sz w:val="18"/>
        </w:rPr>
        <w:t> </w:t>
      </w:r>
      <w:r>
        <w:rPr>
          <w:sz w:val="18"/>
        </w:rPr>
        <w:t>parceria</w:t>
      </w:r>
      <w:r>
        <w:rPr>
          <w:spacing w:val="1"/>
          <w:sz w:val="18"/>
        </w:rPr>
        <w:t> </w:t>
      </w:r>
      <w:r>
        <w:rPr>
          <w:sz w:val="18"/>
        </w:rPr>
        <w:t>com</w:t>
      </w:r>
      <w:r>
        <w:rPr>
          <w:spacing w:val="1"/>
          <w:sz w:val="18"/>
        </w:rPr>
        <w:t> </w:t>
      </w:r>
      <w:r>
        <w:rPr>
          <w:sz w:val="18"/>
        </w:rPr>
        <w:t>a</w:t>
      </w:r>
      <w:r>
        <w:rPr>
          <w:spacing w:val="1"/>
          <w:sz w:val="18"/>
        </w:rPr>
        <w:t> </w:t>
      </w:r>
      <w:r>
        <w:rPr>
          <w:sz w:val="18"/>
        </w:rPr>
        <w:t>Escola</w:t>
      </w:r>
      <w:r>
        <w:rPr>
          <w:spacing w:val="1"/>
          <w:sz w:val="18"/>
        </w:rPr>
        <w:t> </w:t>
      </w:r>
      <w:r>
        <w:rPr>
          <w:sz w:val="18"/>
        </w:rPr>
        <w:t>Superior</w:t>
      </w:r>
      <w:r>
        <w:rPr>
          <w:spacing w:val="1"/>
          <w:sz w:val="18"/>
        </w:rPr>
        <w:t> </w:t>
      </w:r>
      <w:r>
        <w:rPr>
          <w:sz w:val="18"/>
        </w:rPr>
        <w:t>do</w:t>
      </w:r>
      <w:r>
        <w:rPr>
          <w:spacing w:val="1"/>
          <w:sz w:val="18"/>
        </w:rPr>
        <w:t> </w:t>
      </w:r>
      <w:r>
        <w:rPr>
          <w:sz w:val="18"/>
        </w:rPr>
        <w:t>Ministério</w:t>
      </w:r>
      <w:r>
        <w:rPr>
          <w:spacing w:val="1"/>
          <w:sz w:val="18"/>
        </w:rPr>
        <w:t> </w:t>
      </w:r>
      <w:r>
        <w:rPr>
          <w:sz w:val="18"/>
        </w:rPr>
        <w:t>Público</w:t>
      </w:r>
      <w:r>
        <w:rPr>
          <w:spacing w:val="1"/>
          <w:sz w:val="18"/>
        </w:rPr>
        <w:t> </w:t>
      </w:r>
      <w:r>
        <w:rPr>
          <w:sz w:val="18"/>
        </w:rPr>
        <w:t>do</w:t>
      </w:r>
      <w:r>
        <w:rPr>
          <w:spacing w:val="1"/>
          <w:sz w:val="18"/>
        </w:rPr>
        <w:t> </w:t>
      </w:r>
      <w:r>
        <w:rPr>
          <w:sz w:val="18"/>
        </w:rPr>
        <w:t>Estado</w:t>
      </w:r>
      <w:r>
        <w:rPr>
          <w:spacing w:val="1"/>
          <w:sz w:val="18"/>
        </w:rPr>
        <w:t> </w:t>
      </w:r>
      <w:r>
        <w:rPr>
          <w:spacing w:val="-5"/>
          <w:sz w:val="18"/>
        </w:rPr>
        <w:t>de</w:t>
      </w:r>
    </w:p>
    <w:sectPr>
      <w:pgSz w:w="11900" w:h="16840"/>
      <w:pgMar w:header="799" w:footer="725" w:top="2540" w:bottom="92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2368">
              <wp:simplePos x="0" y="0"/>
              <wp:positionH relativeFrom="page">
                <wp:posOffset>431800</wp:posOffset>
              </wp:positionH>
              <wp:positionV relativeFrom="page">
                <wp:posOffset>10058400</wp:posOffset>
              </wp:positionV>
              <wp:extent cx="66929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4112"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82880">
              <wp:simplePos x="0" y="0"/>
              <wp:positionH relativeFrom="page">
                <wp:posOffset>1027683</wp:posOffset>
              </wp:positionH>
              <wp:positionV relativeFrom="page">
                <wp:posOffset>10080724</wp:posOffset>
              </wp:positionV>
              <wp:extent cx="5502275"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 style="position:absolute;margin-left:80.919998pt;margin-top:793.757813pt;width:433.25pt;height:10.95pt;mso-position-horizontal-relative:page;mso-position-vertical-relative:page;z-index:-15833600" type="#_x0000_t202" id="docshape3"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3392">
              <wp:simplePos x="0" y="0"/>
              <wp:positionH relativeFrom="page">
                <wp:posOffset>6945376</wp:posOffset>
              </wp:positionH>
              <wp:positionV relativeFrom="page">
                <wp:posOffset>10235530</wp:posOffset>
              </wp:positionV>
              <wp:extent cx="205104" cy="1676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05104" cy="167640"/>
                      </a:xfrm>
                      <a:prstGeom prst="rect">
                        <a:avLst/>
                      </a:prstGeom>
                    </wps:spPr>
                    <wps:txbx>
                      <w:txbxContent>
                        <w:p>
                          <w:pPr>
                            <w:spacing w:before="13"/>
                            <w:ind w:left="20" w:right="0" w:firstLine="0"/>
                            <w:jc w:val="left"/>
                            <w:rPr>
                              <w:rFonts w:ascii="Arial"/>
                              <w:b/>
                              <w:sz w:val="20"/>
                            </w:rPr>
                          </w:pPr>
                          <w:r>
                            <w:rPr>
                              <w:rFonts w:ascii="Arial"/>
                              <w:b/>
                              <w:spacing w:val="-5"/>
                              <w:sz w:val="20"/>
                            </w:rPr>
                            <w:fldChar w:fldCharType="begin"/>
                          </w:r>
                          <w:r>
                            <w:rPr>
                              <w:rFonts w:ascii="Arial"/>
                              <w:b/>
                              <w:spacing w:val="-5"/>
                              <w:sz w:val="20"/>
                            </w:rPr>
                            <w:instrText> PAGE </w:instrText>
                          </w:r>
                          <w:r>
                            <w:rPr>
                              <w:rFonts w:ascii="Arial"/>
                              <w:b/>
                              <w:spacing w:val="-5"/>
                              <w:sz w:val="20"/>
                            </w:rPr>
                            <w:fldChar w:fldCharType="separate"/>
                          </w:r>
                          <w:r>
                            <w:rPr>
                              <w:rFonts w:ascii="Arial"/>
                              <w:b/>
                              <w:spacing w:val="-5"/>
                              <w:sz w:val="20"/>
                            </w:rPr>
                            <w:t>10</w:t>
                          </w:r>
                          <w:r>
                            <w:rPr>
                              <w:rFonts w:ascii="Arial"/>
                              <w:b/>
                              <w:spacing w:val="-5"/>
                              <w:sz w:val="20"/>
                            </w:rPr>
                            <w:fldChar w:fldCharType="end"/>
                          </w:r>
                        </w:p>
                      </w:txbxContent>
                    </wps:txbx>
                    <wps:bodyPr wrap="square" lIns="0" tIns="0" rIns="0" bIns="0" rtlCol="0">
                      <a:noAutofit/>
                    </wps:bodyPr>
                  </wps:wsp>
                </a:graphicData>
              </a:graphic>
            </wp:anchor>
          </w:drawing>
        </mc:Choice>
        <mc:Fallback>
          <w:pict>
            <v:shape style="position:absolute;margin-left:546.880005pt;margin-top:805.947266pt;width:16.1500pt;height:13.2pt;mso-position-horizontal-relative:page;mso-position-vertical-relative:page;z-index:-15833088" type="#_x0000_t202" id="docshape4" filled="false" stroked="false">
              <v:textbox inset="0,0,0,0">
                <w:txbxContent>
                  <w:p>
                    <w:pPr>
                      <w:spacing w:before="13"/>
                      <w:ind w:left="20" w:right="0" w:firstLine="0"/>
                      <w:jc w:val="left"/>
                      <w:rPr>
                        <w:rFonts w:ascii="Arial"/>
                        <w:b/>
                        <w:sz w:val="20"/>
                      </w:rPr>
                    </w:pPr>
                    <w:r>
                      <w:rPr>
                        <w:rFonts w:ascii="Arial"/>
                        <w:b/>
                        <w:spacing w:val="-5"/>
                        <w:sz w:val="20"/>
                      </w:rPr>
                      <w:fldChar w:fldCharType="begin"/>
                    </w:r>
                    <w:r>
                      <w:rPr>
                        <w:rFonts w:ascii="Arial"/>
                        <w:b/>
                        <w:spacing w:val="-5"/>
                        <w:sz w:val="20"/>
                      </w:rPr>
                      <w:instrText> PAGE </w:instrText>
                    </w:r>
                    <w:r>
                      <w:rPr>
                        <w:rFonts w:ascii="Arial"/>
                        <w:b/>
                        <w:spacing w:val="-5"/>
                        <w:sz w:val="20"/>
                      </w:rPr>
                      <w:fldChar w:fldCharType="separate"/>
                    </w:r>
                    <w:r>
                      <w:rPr>
                        <w:rFonts w:ascii="Arial"/>
                        <w:b/>
                        <w:spacing w:val="-5"/>
                        <w:sz w:val="20"/>
                      </w:rPr>
                      <w:t>10</w:t>
                    </w:r>
                    <w:r>
                      <w:rPr>
                        <w:rFonts w:ascii="Arial"/>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0320">
          <wp:simplePos x="0" y="0"/>
          <wp:positionH relativeFrom="page">
            <wp:posOffset>456451</wp:posOffset>
          </wp:positionH>
          <wp:positionV relativeFrom="page">
            <wp:posOffset>507626</wp:posOffset>
          </wp:positionV>
          <wp:extent cx="6655922" cy="78273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655922" cy="7827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80832">
              <wp:simplePos x="0" y="0"/>
              <wp:positionH relativeFrom="page">
                <wp:posOffset>431800</wp:posOffset>
              </wp:positionH>
              <wp:positionV relativeFrom="page">
                <wp:posOffset>1613280</wp:posOffset>
              </wp:positionV>
              <wp:extent cx="66929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5648" from="34pt,127.029999pt" to="561pt,127.029999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81344">
              <wp:simplePos x="0" y="0"/>
              <wp:positionH relativeFrom="page">
                <wp:posOffset>419100</wp:posOffset>
              </wp:positionH>
              <wp:positionV relativeFrom="page">
                <wp:posOffset>1370108</wp:posOffset>
              </wp:positionV>
              <wp:extent cx="253555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35555" cy="153670"/>
                      </a:xfrm>
                      <a:prstGeom prst="rect">
                        <a:avLst/>
                      </a:prstGeom>
                    </wps:spPr>
                    <wps:txbx>
                      <w:txbxContent>
                        <w:p>
                          <w:pPr>
                            <w:pStyle w:val="BodyText"/>
                            <w:spacing w:before="14"/>
                            <w:ind w:left="20"/>
                          </w:pPr>
                          <w:r>
                            <w:rPr/>
                            <w:t>Data de disponibilização: 11 de fevereiro de </w:t>
                          </w:r>
                          <w:r>
                            <w:rPr>
                              <w:spacing w:val="-4"/>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pt;margin-top:107.882538pt;width:199.65pt;height:12.1pt;mso-position-horizontal-relative:page;mso-position-vertical-relative:page;z-index:-15835136" type="#_x0000_t202" id="docshape1" filled="false" stroked="false">
              <v:textbox inset="0,0,0,0">
                <w:txbxContent>
                  <w:p>
                    <w:pPr>
                      <w:pStyle w:val="BodyText"/>
                      <w:spacing w:before="14"/>
                      <w:ind w:left="20"/>
                    </w:pPr>
                    <w:r>
                      <w:rPr/>
                      <w:t>Data de disponibilização: 11 de fevereiro de </w:t>
                    </w:r>
                    <w:r>
                      <w:rPr>
                        <w:spacing w:val="-4"/>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1856">
              <wp:simplePos x="0" y="0"/>
              <wp:positionH relativeFrom="page">
                <wp:posOffset>6339957</wp:posOffset>
              </wp:positionH>
              <wp:positionV relativeFrom="page">
                <wp:posOffset>1370108</wp:posOffset>
              </wp:positionV>
              <wp:extent cx="79819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98195" cy="153670"/>
                      </a:xfrm>
                      <a:prstGeom prst="rect">
                        <a:avLst/>
                      </a:prstGeom>
                    </wps:spPr>
                    <wps:txbx>
                      <w:txbxContent>
                        <w:p>
                          <w:pPr>
                            <w:pStyle w:val="BodyText"/>
                            <w:spacing w:before="14"/>
                            <w:ind w:left="20"/>
                          </w:pPr>
                          <w:r>
                            <w:rPr/>
                            <w:t>Edição nº </w:t>
                          </w:r>
                          <w:r>
                            <w:rPr>
                              <w:spacing w:val="-4"/>
                            </w:rPr>
                            <w:t>1308</w:t>
                          </w:r>
                        </w:p>
                      </w:txbxContent>
                    </wps:txbx>
                    <wps:bodyPr wrap="square" lIns="0" tIns="0" rIns="0" bIns="0" rtlCol="0">
                      <a:noAutofit/>
                    </wps:bodyPr>
                  </wps:wsp>
                </a:graphicData>
              </a:graphic>
            </wp:anchor>
          </w:drawing>
        </mc:Choice>
        <mc:Fallback>
          <w:pict>
            <v:shape style="position:absolute;margin-left:499.209229pt;margin-top:107.882538pt;width:62.85pt;height:12.1pt;mso-position-horizontal-relative:page;mso-position-vertical-relative:page;z-index:-15834624" type="#_x0000_t202" id="docshape2" filled="false" stroked="false">
              <v:textbox inset="0,0,0,0">
                <w:txbxContent>
                  <w:p>
                    <w:pPr>
                      <w:pStyle w:val="BodyText"/>
                      <w:spacing w:before="14"/>
                      <w:ind w:left="20"/>
                    </w:pPr>
                    <w:r>
                      <w:rPr/>
                      <w:t>Edição nº </w:t>
                    </w:r>
                    <w:r>
                      <w:rPr>
                        <w:spacing w:val="-4"/>
                      </w:rPr>
                      <w:t>1308</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302" w:hanging="211"/>
        <w:jc w:val="left"/>
      </w:pPr>
      <w:rPr>
        <w:rFonts w:hint="default" w:ascii="Arial MT" w:hAnsi="Arial MT" w:eastAsia="Arial MT" w:cs="Arial MT"/>
        <w:b w:val="0"/>
        <w:bCs w:val="0"/>
        <w:i w:val="0"/>
        <w:iCs w:val="0"/>
        <w:spacing w:val="0"/>
        <w:w w:val="100"/>
        <w:sz w:val="18"/>
        <w:szCs w:val="18"/>
        <w:lang w:val="pt-PT" w:eastAsia="en-US" w:bidi="ar-SA"/>
      </w:rPr>
    </w:lvl>
    <w:lvl w:ilvl="1">
      <w:start w:val="1"/>
      <w:numFmt w:val="upperRoman"/>
      <w:lvlText w:val="%2"/>
      <w:lvlJc w:val="left"/>
      <w:pPr>
        <w:ind w:left="92" w:hanging="105"/>
        <w:jc w:val="left"/>
      </w:pPr>
      <w:rPr>
        <w:rFonts w:hint="default" w:ascii="Arial MT" w:hAnsi="Arial MT" w:eastAsia="Arial MT" w:cs="Arial MT"/>
        <w:b w:val="0"/>
        <w:bCs w:val="0"/>
        <w:i w:val="0"/>
        <w:iCs w:val="0"/>
        <w:spacing w:val="0"/>
        <w:w w:val="100"/>
        <w:sz w:val="18"/>
        <w:szCs w:val="18"/>
        <w:lang w:val="pt-PT" w:eastAsia="en-US" w:bidi="ar-SA"/>
      </w:rPr>
    </w:lvl>
    <w:lvl w:ilvl="2">
      <w:start w:val="0"/>
      <w:numFmt w:val="bullet"/>
      <w:lvlText w:val="•"/>
      <w:lvlJc w:val="left"/>
      <w:pPr>
        <w:ind w:left="1431" w:hanging="105"/>
      </w:pPr>
      <w:rPr>
        <w:rFonts w:hint="default"/>
        <w:lang w:val="pt-PT" w:eastAsia="en-US" w:bidi="ar-SA"/>
      </w:rPr>
    </w:lvl>
    <w:lvl w:ilvl="3">
      <w:start w:val="0"/>
      <w:numFmt w:val="bullet"/>
      <w:lvlText w:val="•"/>
      <w:lvlJc w:val="left"/>
      <w:pPr>
        <w:ind w:left="2563" w:hanging="105"/>
      </w:pPr>
      <w:rPr>
        <w:rFonts w:hint="default"/>
        <w:lang w:val="pt-PT" w:eastAsia="en-US" w:bidi="ar-SA"/>
      </w:rPr>
    </w:lvl>
    <w:lvl w:ilvl="4">
      <w:start w:val="0"/>
      <w:numFmt w:val="bullet"/>
      <w:lvlText w:val="•"/>
      <w:lvlJc w:val="left"/>
      <w:pPr>
        <w:ind w:left="3694" w:hanging="105"/>
      </w:pPr>
      <w:rPr>
        <w:rFonts w:hint="default"/>
        <w:lang w:val="pt-PT" w:eastAsia="en-US" w:bidi="ar-SA"/>
      </w:rPr>
    </w:lvl>
    <w:lvl w:ilvl="5">
      <w:start w:val="0"/>
      <w:numFmt w:val="bullet"/>
      <w:lvlText w:val="•"/>
      <w:lvlJc w:val="left"/>
      <w:pPr>
        <w:ind w:left="4826" w:hanging="105"/>
      </w:pPr>
      <w:rPr>
        <w:rFonts w:hint="default"/>
        <w:lang w:val="pt-PT" w:eastAsia="en-US" w:bidi="ar-SA"/>
      </w:rPr>
    </w:lvl>
    <w:lvl w:ilvl="6">
      <w:start w:val="0"/>
      <w:numFmt w:val="bullet"/>
      <w:lvlText w:val="•"/>
      <w:lvlJc w:val="left"/>
      <w:pPr>
        <w:ind w:left="5957" w:hanging="105"/>
      </w:pPr>
      <w:rPr>
        <w:rFonts w:hint="default"/>
        <w:lang w:val="pt-PT" w:eastAsia="en-US" w:bidi="ar-SA"/>
      </w:rPr>
    </w:lvl>
    <w:lvl w:ilvl="7">
      <w:start w:val="0"/>
      <w:numFmt w:val="bullet"/>
      <w:lvlText w:val="•"/>
      <w:lvlJc w:val="left"/>
      <w:pPr>
        <w:ind w:left="7089" w:hanging="105"/>
      </w:pPr>
      <w:rPr>
        <w:rFonts w:hint="default"/>
        <w:lang w:val="pt-PT" w:eastAsia="en-US" w:bidi="ar-SA"/>
      </w:rPr>
    </w:lvl>
    <w:lvl w:ilvl="8">
      <w:start w:val="0"/>
      <w:numFmt w:val="bullet"/>
      <w:lvlText w:val="•"/>
      <w:lvlJc w:val="left"/>
      <w:pPr>
        <w:ind w:left="8220" w:hanging="105"/>
      </w:pPr>
      <w:rPr>
        <w:rFonts w:hint="default"/>
        <w:lang w:val="pt-PT" w:eastAsia="en-US" w:bidi="ar-SA"/>
      </w:rPr>
    </w:lvl>
  </w:abstractNum>
  <w:abstractNum w:abstractNumId="6">
    <w:multiLevelType w:val="hybridMultilevel"/>
    <w:lvl w:ilvl="0">
      <w:start w:val="1"/>
      <w:numFmt w:val="upperRoman"/>
      <w:lvlText w:val="%1"/>
      <w:lvlJc w:val="left"/>
      <w:pPr>
        <w:ind w:left="92" w:hanging="125"/>
        <w:jc w:val="left"/>
      </w:pPr>
      <w:rPr>
        <w:rFonts w:hint="default" w:ascii="Arial MT" w:hAnsi="Arial MT" w:eastAsia="Arial MT" w:cs="Arial MT"/>
        <w:b w:val="0"/>
        <w:bCs w:val="0"/>
        <w:i w:val="0"/>
        <w:iCs w:val="0"/>
        <w:spacing w:val="0"/>
        <w:w w:val="100"/>
        <w:sz w:val="18"/>
        <w:szCs w:val="18"/>
        <w:lang w:val="pt-PT" w:eastAsia="en-US" w:bidi="ar-SA"/>
      </w:rPr>
    </w:lvl>
    <w:lvl w:ilvl="1">
      <w:start w:val="1"/>
      <w:numFmt w:val="lowerLetter"/>
      <w:lvlText w:val="%2)"/>
      <w:lvlJc w:val="left"/>
      <w:pPr>
        <w:ind w:left="302" w:hanging="211"/>
        <w:jc w:val="left"/>
      </w:pPr>
      <w:rPr>
        <w:rFonts w:hint="default" w:ascii="Arial MT" w:hAnsi="Arial MT" w:eastAsia="Arial MT" w:cs="Arial MT"/>
        <w:b w:val="0"/>
        <w:bCs w:val="0"/>
        <w:i w:val="0"/>
        <w:iCs w:val="0"/>
        <w:spacing w:val="0"/>
        <w:w w:val="100"/>
        <w:sz w:val="18"/>
        <w:szCs w:val="18"/>
        <w:lang w:val="pt-PT" w:eastAsia="en-US" w:bidi="ar-SA"/>
      </w:rPr>
    </w:lvl>
    <w:lvl w:ilvl="2">
      <w:start w:val="1"/>
      <w:numFmt w:val="upperRoman"/>
      <w:lvlText w:val="%3"/>
      <w:lvlJc w:val="left"/>
      <w:pPr>
        <w:ind w:left="92" w:hanging="114"/>
        <w:jc w:val="left"/>
      </w:pPr>
      <w:rPr>
        <w:rFonts w:hint="default" w:ascii="Arial MT" w:hAnsi="Arial MT" w:eastAsia="Arial MT" w:cs="Arial MT"/>
        <w:b w:val="0"/>
        <w:bCs w:val="0"/>
        <w:i w:val="0"/>
        <w:iCs w:val="0"/>
        <w:spacing w:val="0"/>
        <w:w w:val="100"/>
        <w:sz w:val="18"/>
        <w:szCs w:val="18"/>
        <w:lang w:val="pt-PT" w:eastAsia="en-US" w:bidi="ar-SA"/>
      </w:rPr>
    </w:lvl>
    <w:lvl w:ilvl="3">
      <w:start w:val="0"/>
      <w:numFmt w:val="bullet"/>
      <w:lvlText w:val="•"/>
      <w:lvlJc w:val="left"/>
      <w:pPr>
        <w:ind w:left="2563" w:hanging="114"/>
      </w:pPr>
      <w:rPr>
        <w:rFonts w:hint="default"/>
        <w:lang w:val="pt-PT" w:eastAsia="en-US" w:bidi="ar-SA"/>
      </w:rPr>
    </w:lvl>
    <w:lvl w:ilvl="4">
      <w:start w:val="0"/>
      <w:numFmt w:val="bullet"/>
      <w:lvlText w:val="•"/>
      <w:lvlJc w:val="left"/>
      <w:pPr>
        <w:ind w:left="3694" w:hanging="114"/>
      </w:pPr>
      <w:rPr>
        <w:rFonts w:hint="default"/>
        <w:lang w:val="pt-PT" w:eastAsia="en-US" w:bidi="ar-SA"/>
      </w:rPr>
    </w:lvl>
    <w:lvl w:ilvl="5">
      <w:start w:val="0"/>
      <w:numFmt w:val="bullet"/>
      <w:lvlText w:val="•"/>
      <w:lvlJc w:val="left"/>
      <w:pPr>
        <w:ind w:left="4826" w:hanging="114"/>
      </w:pPr>
      <w:rPr>
        <w:rFonts w:hint="default"/>
        <w:lang w:val="pt-PT" w:eastAsia="en-US" w:bidi="ar-SA"/>
      </w:rPr>
    </w:lvl>
    <w:lvl w:ilvl="6">
      <w:start w:val="0"/>
      <w:numFmt w:val="bullet"/>
      <w:lvlText w:val="•"/>
      <w:lvlJc w:val="left"/>
      <w:pPr>
        <w:ind w:left="5957" w:hanging="114"/>
      </w:pPr>
      <w:rPr>
        <w:rFonts w:hint="default"/>
        <w:lang w:val="pt-PT" w:eastAsia="en-US" w:bidi="ar-SA"/>
      </w:rPr>
    </w:lvl>
    <w:lvl w:ilvl="7">
      <w:start w:val="0"/>
      <w:numFmt w:val="bullet"/>
      <w:lvlText w:val="•"/>
      <w:lvlJc w:val="left"/>
      <w:pPr>
        <w:ind w:left="7089" w:hanging="114"/>
      </w:pPr>
      <w:rPr>
        <w:rFonts w:hint="default"/>
        <w:lang w:val="pt-PT" w:eastAsia="en-US" w:bidi="ar-SA"/>
      </w:rPr>
    </w:lvl>
    <w:lvl w:ilvl="8">
      <w:start w:val="0"/>
      <w:numFmt w:val="bullet"/>
      <w:lvlText w:val="•"/>
      <w:lvlJc w:val="left"/>
      <w:pPr>
        <w:ind w:left="8220" w:hanging="114"/>
      </w:pPr>
      <w:rPr>
        <w:rFonts w:hint="default"/>
        <w:lang w:val="pt-PT" w:eastAsia="en-US" w:bidi="ar-SA"/>
      </w:rPr>
    </w:lvl>
  </w:abstractNum>
  <w:abstractNum w:abstractNumId="5">
    <w:multiLevelType w:val="hybridMultilevel"/>
    <w:lvl w:ilvl="0">
      <w:start w:val="1"/>
      <w:numFmt w:val="upperRoman"/>
      <w:lvlText w:val="%1"/>
      <w:lvlJc w:val="left"/>
      <w:pPr>
        <w:ind w:left="92" w:hanging="102"/>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138" w:hanging="102"/>
      </w:pPr>
      <w:rPr>
        <w:rFonts w:hint="default"/>
        <w:lang w:val="pt-PT" w:eastAsia="en-US" w:bidi="ar-SA"/>
      </w:rPr>
    </w:lvl>
    <w:lvl w:ilvl="2">
      <w:start w:val="0"/>
      <w:numFmt w:val="bullet"/>
      <w:lvlText w:val="•"/>
      <w:lvlJc w:val="left"/>
      <w:pPr>
        <w:ind w:left="2176" w:hanging="102"/>
      </w:pPr>
      <w:rPr>
        <w:rFonts w:hint="default"/>
        <w:lang w:val="pt-PT" w:eastAsia="en-US" w:bidi="ar-SA"/>
      </w:rPr>
    </w:lvl>
    <w:lvl w:ilvl="3">
      <w:start w:val="0"/>
      <w:numFmt w:val="bullet"/>
      <w:lvlText w:val="•"/>
      <w:lvlJc w:val="left"/>
      <w:pPr>
        <w:ind w:left="3215" w:hanging="102"/>
      </w:pPr>
      <w:rPr>
        <w:rFonts w:hint="default"/>
        <w:lang w:val="pt-PT" w:eastAsia="en-US" w:bidi="ar-SA"/>
      </w:rPr>
    </w:lvl>
    <w:lvl w:ilvl="4">
      <w:start w:val="0"/>
      <w:numFmt w:val="bullet"/>
      <w:lvlText w:val="•"/>
      <w:lvlJc w:val="left"/>
      <w:pPr>
        <w:ind w:left="4253" w:hanging="102"/>
      </w:pPr>
      <w:rPr>
        <w:rFonts w:hint="default"/>
        <w:lang w:val="pt-PT" w:eastAsia="en-US" w:bidi="ar-SA"/>
      </w:rPr>
    </w:lvl>
    <w:lvl w:ilvl="5">
      <w:start w:val="0"/>
      <w:numFmt w:val="bullet"/>
      <w:lvlText w:val="•"/>
      <w:lvlJc w:val="left"/>
      <w:pPr>
        <w:ind w:left="5292" w:hanging="102"/>
      </w:pPr>
      <w:rPr>
        <w:rFonts w:hint="default"/>
        <w:lang w:val="pt-PT" w:eastAsia="en-US" w:bidi="ar-SA"/>
      </w:rPr>
    </w:lvl>
    <w:lvl w:ilvl="6">
      <w:start w:val="0"/>
      <w:numFmt w:val="bullet"/>
      <w:lvlText w:val="•"/>
      <w:lvlJc w:val="left"/>
      <w:pPr>
        <w:ind w:left="6330" w:hanging="102"/>
      </w:pPr>
      <w:rPr>
        <w:rFonts w:hint="default"/>
        <w:lang w:val="pt-PT" w:eastAsia="en-US" w:bidi="ar-SA"/>
      </w:rPr>
    </w:lvl>
    <w:lvl w:ilvl="7">
      <w:start w:val="0"/>
      <w:numFmt w:val="bullet"/>
      <w:lvlText w:val="•"/>
      <w:lvlJc w:val="left"/>
      <w:pPr>
        <w:ind w:left="7368" w:hanging="102"/>
      </w:pPr>
      <w:rPr>
        <w:rFonts w:hint="default"/>
        <w:lang w:val="pt-PT" w:eastAsia="en-US" w:bidi="ar-SA"/>
      </w:rPr>
    </w:lvl>
    <w:lvl w:ilvl="8">
      <w:start w:val="0"/>
      <w:numFmt w:val="bullet"/>
      <w:lvlText w:val="•"/>
      <w:lvlJc w:val="left"/>
      <w:pPr>
        <w:ind w:left="8407" w:hanging="102"/>
      </w:pPr>
      <w:rPr>
        <w:rFonts w:hint="default"/>
        <w:lang w:val="pt-PT" w:eastAsia="en-US" w:bidi="ar-SA"/>
      </w:rPr>
    </w:lvl>
  </w:abstractNum>
  <w:abstractNum w:abstractNumId="4">
    <w:multiLevelType w:val="hybridMultilevel"/>
    <w:lvl w:ilvl="0">
      <w:start w:val="1"/>
      <w:numFmt w:val="upperRoman"/>
      <w:lvlText w:val="%1"/>
      <w:lvlJc w:val="left"/>
      <w:pPr>
        <w:ind w:left="192"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28" w:hanging="101"/>
      </w:pPr>
      <w:rPr>
        <w:rFonts w:hint="default"/>
        <w:lang w:val="pt-PT" w:eastAsia="en-US" w:bidi="ar-SA"/>
      </w:rPr>
    </w:lvl>
    <w:lvl w:ilvl="2">
      <w:start w:val="0"/>
      <w:numFmt w:val="bullet"/>
      <w:lvlText w:val="•"/>
      <w:lvlJc w:val="left"/>
      <w:pPr>
        <w:ind w:left="2256" w:hanging="101"/>
      </w:pPr>
      <w:rPr>
        <w:rFonts w:hint="default"/>
        <w:lang w:val="pt-PT" w:eastAsia="en-US" w:bidi="ar-SA"/>
      </w:rPr>
    </w:lvl>
    <w:lvl w:ilvl="3">
      <w:start w:val="0"/>
      <w:numFmt w:val="bullet"/>
      <w:lvlText w:val="•"/>
      <w:lvlJc w:val="left"/>
      <w:pPr>
        <w:ind w:left="3285" w:hanging="101"/>
      </w:pPr>
      <w:rPr>
        <w:rFonts w:hint="default"/>
        <w:lang w:val="pt-PT" w:eastAsia="en-US" w:bidi="ar-SA"/>
      </w:rPr>
    </w:lvl>
    <w:lvl w:ilvl="4">
      <w:start w:val="0"/>
      <w:numFmt w:val="bullet"/>
      <w:lvlText w:val="•"/>
      <w:lvlJc w:val="left"/>
      <w:pPr>
        <w:ind w:left="4313" w:hanging="101"/>
      </w:pPr>
      <w:rPr>
        <w:rFonts w:hint="default"/>
        <w:lang w:val="pt-PT" w:eastAsia="en-US" w:bidi="ar-SA"/>
      </w:rPr>
    </w:lvl>
    <w:lvl w:ilvl="5">
      <w:start w:val="0"/>
      <w:numFmt w:val="bullet"/>
      <w:lvlText w:val="•"/>
      <w:lvlJc w:val="left"/>
      <w:pPr>
        <w:ind w:left="5342" w:hanging="101"/>
      </w:pPr>
      <w:rPr>
        <w:rFonts w:hint="default"/>
        <w:lang w:val="pt-PT" w:eastAsia="en-US" w:bidi="ar-SA"/>
      </w:rPr>
    </w:lvl>
    <w:lvl w:ilvl="6">
      <w:start w:val="0"/>
      <w:numFmt w:val="bullet"/>
      <w:lvlText w:val="•"/>
      <w:lvlJc w:val="left"/>
      <w:pPr>
        <w:ind w:left="6370" w:hanging="101"/>
      </w:pPr>
      <w:rPr>
        <w:rFonts w:hint="default"/>
        <w:lang w:val="pt-PT" w:eastAsia="en-US" w:bidi="ar-SA"/>
      </w:rPr>
    </w:lvl>
    <w:lvl w:ilvl="7">
      <w:start w:val="0"/>
      <w:numFmt w:val="bullet"/>
      <w:lvlText w:val="•"/>
      <w:lvlJc w:val="left"/>
      <w:pPr>
        <w:ind w:left="7398" w:hanging="101"/>
      </w:pPr>
      <w:rPr>
        <w:rFonts w:hint="default"/>
        <w:lang w:val="pt-PT" w:eastAsia="en-US" w:bidi="ar-SA"/>
      </w:rPr>
    </w:lvl>
    <w:lvl w:ilvl="8">
      <w:start w:val="0"/>
      <w:numFmt w:val="bullet"/>
      <w:lvlText w:val="•"/>
      <w:lvlJc w:val="left"/>
      <w:pPr>
        <w:ind w:left="8427" w:hanging="101"/>
      </w:pPr>
      <w:rPr>
        <w:rFonts w:hint="default"/>
        <w:lang w:val="pt-PT" w:eastAsia="en-US" w:bidi="ar-SA"/>
      </w:rPr>
    </w:lvl>
  </w:abstractNum>
  <w:abstractNum w:abstractNumId="3">
    <w:multiLevelType w:val="hybridMultilevel"/>
    <w:lvl w:ilvl="0">
      <w:start w:val="1"/>
      <w:numFmt w:val="upperRoman"/>
      <w:lvlText w:val="%1"/>
      <w:lvlJc w:val="left"/>
      <w:pPr>
        <w:ind w:left="192"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28" w:hanging="101"/>
      </w:pPr>
      <w:rPr>
        <w:rFonts w:hint="default"/>
        <w:lang w:val="pt-PT" w:eastAsia="en-US" w:bidi="ar-SA"/>
      </w:rPr>
    </w:lvl>
    <w:lvl w:ilvl="2">
      <w:start w:val="0"/>
      <w:numFmt w:val="bullet"/>
      <w:lvlText w:val="•"/>
      <w:lvlJc w:val="left"/>
      <w:pPr>
        <w:ind w:left="2256" w:hanging="101"/>
      </w:pPr>
      <w:rPr>
        <w:rFonts w:hint="default"/>
        <w:lang w:val="pt-PT" w:eastAsia="en-US" w:bidi="ar-SA"/>
      </w:rPr>
    </w:lvl>
    <w:lvl w:ilvl="3">
      <w:start w:val="0"/>
      <w:numFmt w:val="bullet"/>
      <w:lvlText w:val="•"/>
      <w:lvlJc w:val="left"/>
      <w:pPr>
        <w:ind w:left="3285" w:hanging="101"/>
      </w:pPr>
      <w:rPr>
        <w:rFonts w:hint="default"/>
        <w:lang w:val="pt-PT" w:eastAsia="en-US" w:bidi="ar-SA"/>
      </w:rPr>
    </w:lvl>
    <w:lvl w:ilvl="4">
      <w:start w:val="0"/>
      <w:numFmt w:val="bullet"/>
      <w:lvlText w:val="•"/>
      <w:lvlJc w:val="left"/>
      <w:pPr>
        <w:ind w:left="4313" w:hanging="101"/>
      </w:pPr>
      <w:rPr>
        <w:rFonts w:hint="default"/>
        <w:lang w:val="pt-PT" w:eastAsia="en-US" w:bidi="ar-SA"/>
      </w:rPr>
    </w:lvl>
    <w:lvl w:ilvl="5">
      <w:start w:val="0"/>
      <w:numFmt w:val="bullet"/>
      <w:lvlText w:val="•"/>
      <w:lvlJc w:val="left"/>
      <w:pPr>
        <w:ind w:left="5342" w:hanging="101"/>
      </w:pPr>
      <w:rPr>
        <w:rFonts w:hint="default"/>
        <w:lang w:val="pt-PT" w:eastAsia="en-US" w:bidi="ar-SA"/>
      </w:rPr>
    </w:lvl>
    <w:lvl w:ilvl="6">
      <w:start w:val="0"/>
      <w:numFmt w:val="bullet"/>
      <w:lvlText w:val="•"/>
      <w:lvlJc w:val="left"/>
      <w:pPr>
        <w:ind w:left="6370" w:hanging="101"/>
      </w:pPr>
      <w:rPr>
        <w:rFonts w:hint="default"/>
        <w:lang w:val="pt-PT" w:eastAsia="en-US" w:bidi="ar-SA"/>
      </w:rPr>
    </w:lvl>
    <w:lvl w:ilvl="7">
      <w:start w:val="0"/>
      <w:numFmt w:val="bullet"/>
      <w:lvlText w:val="•"/>
      <w:lvlJc w:val="left"/>
      <w:pPr>
        <w:ind w:left="7398" w:hanging="101"/>
      </w:pPr>
      <w:rPr>
        <w:rFonts w:hint="default"/>
        <w:lang w:val="pt-PT" w:eastAsia="en-US" w:bidi="ar-SA"/>
      </w:rPr>
    </w:lvl>
    <w:lvl w:ilvl="8">
      <w:start w:val="0"/>
      <w:numFmt w:val="bullet"/>
      <w:lvlText w:val="•"/>
      <w:lvlJc w:val="left"/>
      <w:pPr>
        <w:ind w:left="8427" w:hanging="101"/>
      </w:pPr>
      <w:rPr>
        <w:rFonts w:hint="default"/>
        <w:lang w:val="pt-PT" w:eastAsia="en-US" w:bidi="ar-SA"/>
      </w:rPr>
    </w:lvl>
  </w:abstractNum>
  <w:abstractNum w:abstractNumId="2">
    <w:multiLevelType w:val="hybridMultilevel"/>
    <w:lvl w:ilvl="0">
      <w:start w:val="1"/>
      <w:numFmt w:val="upperRoman"/>
      <w:lvlText w:val="%1"/>
      <w:lvlJc w:val="left"/>
      <w:pPr>
        <w:ind w:left="192"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28" w:hanging="101"/>
      </w:pPr>
      <w:rPr>
        <w:rFonts w:hint="default"/>
        <w:lang w:val="pt-PT" w:eastAsia="en-US" w:bidi="ar-SA"/>
      </w:rPr>
    </w:lvl>
    <w:lvl w:ilvl="2">
      <w:start w:val="0"/>
      <w:numFmt w:val="bullet"/>
      <w:lvlText w:val="•"/>
      <w:lvlJc w:val="left"/>
      <w:pPr>
        <w:ind w:left="2256" w:hanging="101"/>
      </w:pPr>
      <w:rPr>
        <w:rFonts w:hint="default"/>
        <w:lang w:val="pt-PT" w:eastAsia="en-US" w:bidi="ar-SA"/>
      </w:rPr>
    </w:lvl>
    <w:lvl w:ilvl="3">
      <w:start w:val="0"/>
      <w:numFmt w:val="bullet"/>
      <w:lvlText w:val="•"/>
      <w:lvlJc w:val="left"/>
      <w:pPr>
        <w:ind w:left="3285" w:hanging="101"/>
      </w:pPr>
      <w:rPr>
        <w:rFonts w:hint="default"/>
        <w:lang w:val="pt-PT" w:eastAsia="en-US" w:bidi="ar-SA"/>
      </w:rPr>
    </w:lvl>
    <w:lvl w:ilvl="4">
      <w:start w:val="0"/>
      <w:numFmt w:val="bullet"/>
      <w:lvlText w:val="•"/>
      <w:lvlJc w:val="left"/>
      <w:pPr>
        <w:ind w:left="4313" w:hanging="101"/>
      </w:pPr>
      <w:rPr>
        <w:rFonts w:hint="default"/>
        <w:lang w:val="pt-PT" w:eastAsia="en-US" w:bidi="ar-SA"/>
      </w:rPr>
    </w:lvl>
    <w:lvl w:ilvl="5">
      <w:start w:val="0"/>
      <w:numFmt w:val="bullet"/>
      <w:lvlText w:val="•"/>
      <w:lvlJc w:val="left"/>
      <w:pPr>
        <w:ind w:left="5342" w:hanging="101"/>
      </w:pPr>
      <w:rPr>
        <w:rFonts w:hint="default"/>
        <w:lang w:val="pt-PT" w:eastAsia="en-US" w:bidi="ar-SA"/>
      </w:rPr>
    </w:lvl>
    <w:lvl w:ilvl="6">
      <w:start w:val="0"/>
      <w:numFmt w:val="bullet"/>
      <w:lvlText w:val="•"/>
      <w:lvlJc w:val="left"/>
      <w:pPr>
        <w:ind w:left="6370" w:hanging="101"/>
      </w:pPr>
      <w:rPr>
        <w:rFonts w:hint="default"/>
        <w:lang w:val="pt-PT" w:eastAsia="en-US" w:bidi="ar-SA"/>
      </w:rPr>
    </w:lvl>
    <w:lvl w:ilvl="7">
      <w:start w:val="0"/>
      <w:numFmt w:val="bullet"/>
      <w:lvlText w:val="•"/>
      <w:lvlJc w:val="left"/>
      <w:pPr>
        <w:ind w:left="7398" w:hanging="101"/>
      </w:pPr>
      <w:rPr>
        <w:rFonts w:hint="default"/>
        <w:lang w:val="pt-PT" w:eastAsia="en-US" w:bidi="ar-SA"/>
      </w:rPr>
    </w:lvl>
    <w:lvl w:ilvl="8">
      <w:start w:val="0"/>
      <w:numFmt w:val="bullet"/>
      <w:lvlText w:val="•"/>
      <w:lvlJc w:val="left"/>
      <w:pPr>
        <w:ind w:left="8427" w:hanging="101"/>
      </w:pPr>
      <w:rPr>
        <w:rFonts w:hint="default"/>
        <w:lang w:val="pt-PT" w:eastAsia="en-US" w:bidi="ar-SA"/>
      </w:rPr>
    </w:lvl>
  </w:abstractNum>
  <w:abstractNum w:abstractNumId="1">
    <w:multiLevelType w:val="hybridMultilevel"/>
    <w:lvl w:ilvl="0">
      <w:start w:val="1"/>
      <w:numFmt w:val="upperRoman"/>
      <w:lvlText w:val="%1"/>
      <w:lvlJc w:val="left"/>
      <w:pPr>
        <w:ind w:left="192"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28" w:hanging="101"/>
      </w:pPr>
      <w:rPr>
        <w:rFonts w:hint="default"/>
        <w:lang w:val="pt-PT" w:eastAsia="en-US" w:bidi="ar-SA"/>
      </w:rPr>
    </w:lvl>
    <w:lvl w:ilvl="2">
      <w:start w:val="0"/>
      <w:numFmt w:val="bullet"/>
      <w:lvlText w:val="•"/>
      <w:lvlJc w:val="left"/>
      <w:pPr>
        <w:ind w:left="2256" w:hanging="101"/>
      </w:pPr>
      <w:rPr>
        <w:rFonts w:hint="default"/>
        <w:lang w:val="pt-PT" w:eastAsia="en-US" w:bidi="ar-SA"/>
      </w:rPr>
    </w:lvl>
    <w:lvl w:ilvl="3">
      <w:start w:val="0"/>
      <w:numFmt w:val="bullet"/>
      <w:lvlText w:val="•"/>
      <w:lvlJc w:val="left"/>
      <w:pPr>
        <w:ind w:left="3285" w:hanging="101"/>
      </w:pPr>
      <w:rPr>
        <w:rFonts w:hint="default"/>
        <w:lang w:val="pt-PT" w:eastAsia="en-US" w:bidi="ar-SA"/>
      </w:rPr>
    </w:lvl>
    <w:lvl w:ilvl="4">
      <w:start w:val="0"/>
      <w:numFmt w:val="bullet"/>
      <w:lvlText w:val="•"/>
      <w:lvlJc w:val="left"/>
      <w:pPr>
        <w:ind w:left="4313" w:hanging="101"/>
      </w:pPr>
      <w:rPr>
        <w:rFonts w:hint="default"/>
        <w:lang w:val="pt-PT" w:eastAsia="en-US" w:bidi="ar-SA"/>
      </w:rPr>
    </w:lvl>
    <w:lvl w:ilvl="5">
      <w:start w:val="0"/>
      <w:numFmt w:val="bullet"/>
      <w:lvlText w:val="•"/>
      <w:lvlJc w:val="left"/>
      <w:pPr>
        <w:ind w:left="5342" w:hanging="101"/>
      </w:pPr>
      <w:rPr>
        <w:rFonts w:hint="default"/>
        <w:lang w:val="pt-PT" w:eastAsia="en-US" w:bidi="ar-SA"/>
      </w:rPr>
    </w:lvl>
    <w:lvl w:ilvl="6">
      <w:start w:val="0"/>
      <w:numFmt w:val="bullet"/>
      <w:lvlText w:val="•"/>
      <w:lvlJc w:val="left"/>
      <w:pPr>
        <w:ind w:left="6370" w:hanging="101"/>
      </w:pPr>
      <w:rPr>
        <w:rFonts w:hint="default"/>
        <w:lang w:val="pt-PT" w:eastAsia="en-US" w:bidi="ar-SA"/>
      </w:rPr>
    </w:lvl>
    <w:lvl w:ilvl="7">
      <w:start w:val="0"/>
      <w:numFmt w:val="bullet"/>
      <w:lvlText w:val="•"/>
      <w:lvlJc w:val="left"/>
      <w:pPr>
        <w:ind w:left="7398" w:hanging="101"/>
      </w:pPr>
      <w:rPr>
        <w:rFonts w:hint="default"/>
        <w:lang w:val="pt-PT" w:eastAsia="en-US" w:bidi="ar-SA"/>
      </w:rPr>
    </w:lvl>
    <w:lvl w:ilvl="8">
      <w:start w:val="0"/>
      <w:numFmt w:val="bullet"/>
      <w:lvlText w:val="•"/>
      <w:lvlJc w:val="left"/>
      <w:pPr>
        <w:ind w:left="8427" w:hanging="101"/>
      </w:pPr>
      <w:rPr>
        <w:rFonts w:hint="default"/>
        <w:lang w:val="pt-PT" w:eastAsia="en-US" w:bidi="ar-SA"/>
      </w:rPr>
    </w:lvl>
  </w:abstractNum>
  <w:num w:numId="1">
    <w:abstractNumId w:val="0"/>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18"/>
      <w:szCs w:val="18"/>
      <w:lang w:val="pt-PT" w:eastAsia="en-US" w:bidi="ar-SA"/>
    </w:rPr>
  </w:style>
  <w:style w:styleId="Heading1" w:type="paragraph">
    <w:name w:val="Heading 1"/>
    <w:basedOn w:val="Normal"/>
    <w:uiPriority w:val="1"/>
    <w:qFormat/>
    <w:pPr>
      <w:ind w:left="92"/>
      <w:outlineLvl w:val="1"/>
    </w:pPr>
    <w:rPr>
      <w:rFonts w:ascii="Arial MT" w:hAnsi="Arial MT" w:eastAsia="Arial MT" w:cs="Arial MT"/>
      <w:sz w:val="18"/>
      <w:szCs w:val="18"/>
      <w:lang w:val="pt-PT" w:eastAsia="en-US" w:bidi="ar-SA"/>
    </w:rPr>
  </w:style>
  <w:style w:styleId="Title" w:type="paragraph">
    <w:name w:val="Title"/>
    <w:basedOn w:val="Normal"/>
    <w:uiPriority w:val="1"/>
    <w:qFormat/>
    <w:pPr>
      <w:spacing w:before="13"/>
      <w:ind w:left="20"/>
    </w:pPr>
    <w:rPr>
      <w:rFonts w:ascii="Arial" w:hAnsi="Arial" w:eastAsia="Arial" w:cs="Arial"/>
      <w:b/>
      <w:bCs/>
      <w:sz w:val="20"/>
      <w:szCs w:val="20"/>
      <w:lang w:val="pt-PT" w:eastAsia="en-US" w:bidi="ar-SA"/>
    </w:rPr>
  </w:style>
  <w:style w:styleId="ListParagraph" w:type="paragraph">
    <w:name w:val="List Paragraph"/>
    <w:basedOn w:val="Normal"/>
    <w:uiPriority w:val="1"/>
    <w:qFormat/>
    <w:pPr>
      <w:ind w:left="92"/>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2025-07-18T12:48:52Z</dcterms:created>
  <dcterms:modified xsi:type="dcterms:W3CDTF">2025-07-18T12:48:52Z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2025-07-09T00:00:00Z</vt:filetime>
  </property>
</Properties>
</file>