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13 de maio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1127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8128;mso-wrap-distance-left:0;mso-wrap-distance-right:0" id="docshape5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616;mso-wrap-distance-left:0;mso-wrap-distance-right:0" id="docshape6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06/2024</w:t>
      </w:r>
    </w:p>
    <w:p>
      <w:pPr>
        <w:pStyle w:val="BodyText"/>
        <w:spacing w:before="18"/>
      </w:pPr>
    </w:p>
    <w:p>
      <w:pPr>
        <w:pStyle w:val="BodyText"/>
        <w:spacing w:before="1"/>
        <w:ind w:left="234"/>
      </w:pPr>
      <w:r>
        <w:rPr/>
        <w:t>Revoga a Recomendação PGJ </w:t>
      </w:r>
      <w:r>
        <w:rPr>
          <w:spacing w:val="-2"/>
        </w:rPr>
        <w:t>Nº01/2024.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34"/>
      </w:pPr>
      <w:r>
        <w:rPr/>
        <w:t>O PROCURADOR-GERAL DE JUSTIÇA DO ESTADO DE ALAGOAS, no uso das atribuições previstas no art. 9º, inciso V, da Lei Complementar nº 15/1996;</w:t>
      </w:r>
    </w:p>
    <w:p>
      <w:pPr>
        <w:pStyle w:val="BodyText"/>
        <w:spacing w:before="1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1) Revogar a Recomendação PGJ </w:t>
      </w:r>
      <w:r>
        <w:rPr>
          <w:spacing w:val="-2"/>
        </w:rPr>
        <w:t>Nº01/2024.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Publique-se, registre-se e cumpra-</w:t>
      </w:r>
      <w:r>
        <w:rPr>
          <w:spacing w:val="-5"/>
        </w:rPr>
        <w:t>se.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Gabinete do Procurador-Geral de Justiça, em Maceió, 08 de maio de </w:t>
      </w:r>
      <w:r>
        <w:rPr>
          <w:spacing w:val="-2"/>
        </w:rPr>
        <w:t>2024.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9"/>
        <w:ind w:left="234"/>
      </w:pPr>
      <w:r>
        <w:rPr/>
        <w:t>* - </w:t>
      </w:r>
      <w:r>
        <w:rPr>
          <w:spacing w:val="-2"/>
        </w:rPr>
        <w:t>Republicado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07/2024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/>
      </w:pPr>
      <w:r>
        <w:rPr/>
        <w:t>Suspende,</w:t>
      </w:r>
      <w:r>
        <w:rPr>
          <w:spacing w:val="35"/>
        </w:rPr>
        <w:t> </w:t>
      </w:r>
      <w:r>
        <w:rPr/>
        <w:t>excepcionalmente,</w:t>
      </w:r>
      <w:r>
        <w:rPr>
          <w:spacing w:val="35"/>
        </w:rPr>
        <w:t> </w:t>
      </w:r>
      <w:r>
        <w:rPr/>
        <w:t>atividades</w:t>
      </w:r>
      <w:r>
        <w:rPr>
          <w:spacing w:val="35"/>
        </w:rPr>
        <w:t> </w:t>
      </w:r>
      <w:r>
        <w:rPr/>
        <w:t>presenciais</w:t>
      </w:r>
      <w:r>
        <w:rPr>
          <w:spacing w:val="35"/>
        </w:rPr>
        <w:t> </w:t>
      </w:r>
      <w:r>
        <w:rPr/>
        <w:t>aos</w:t>
      </w:r>
      <w:r>
        <w:rPr>
          <w:spacing w:val="35"/>
        </w:rPr>
        <w:t> </w:t>
      </w:r>
      <w:r>
        <w:rPr/>
        <w:t>membros,</w:t>
      </w:r>
      <w:r>
        <w:rPr>
          <w:spacing w:val="35"/>
        </w:rPr>
        <w:t> </w:t>
      </w:r>
      <w:r>
        <w:rPr/>
        <w:t>servidores</w:t>
      </w:r>
      <w:r>
        <w:rPr>
          <w:spacing w:val="35"/>
        </w:rPr>
        <w:t> </w:t>
      </w:r>
      <w:r>
        <w:rPr/>
        <w:t>e</w:t>
      </w:r>
      <w:r>
        <w:rPr>
          <w:spacing w:val="35"/>
        </w:rPr>
        <w:t> </w:t>
      </w:r>
      <w:r>
        <w:rPr/>
        <w:t>estagiários</w:t>
      </w:r>
      <w:r>
        <w:rPr>
          <w:spacing w:val="35"/>
        </w:rPr>
        <w:t> </w:t>
      </w:r>
      <w:r>
        <w:rPr/>
        <w:t>que</w:t>
      </w:r>
      <w:r>
        <w:rPr>
          <w:spacing w:val="35"/>
        </w:rPr>
        <w:t> </w:t>
      </w:r>
      <w:r>
        <w:rPr/>
        <w:t>atuam</w:t>
      </w:r>
      <w:r>
        <w:rPr>
          <w:spacing w:val="35"/>
        </w:rPr>
        <w:t> </w:t>
      </w:r>
      <w:r>
        <w:rPr/>
        <w:t>no</w:t>
      </w:r>
      <w:r>
        <w:rPr>
          <w:spacing w:val="35"/>
        </w:rPr>
        <w:t> </w:t>
      </w:r>
      <w:r>
        <w:rPr/>
        <w:t>prédio</w:t>
      </w:r>
      <w:r>
        <w:rPr>
          <w:spacing w:val="35"/>
        </w:rPr>
        <w:t> </w:t>
      </w:r>
      <w:r>
        <w:rPr/>
        <w:t>sede</w:t>
      </w:r>
      <w:r>
        <w:rPr>
          <w:spacing w:val="35"/>
        </w:rPr>
        <w:t> </w:t>
      </w:r>
      <w:r>
        <w:rPr/>
        <w:t>da Procuradoria Geral de Justiça do Estado de Alagoas, no período de 11/05/2024 a 17/05/2024.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4"/>
      </w:pPr>
      <w:r>
        <w:rPr/>
        <w:t>O PROCURADOR-GERAL DE JUSTIÇA DO ESTADO DE ALAGOAS, no uso das atribuições previstas no art. 9º, inciso V, da Lei Complementar nº 15/1996;</w:t>
      </w:r>
    </w:p>
    <w:p>
      <w:pPr>
        <w:pStyle w:val="BodyText"/>
        <w:spacing w:line="249" w:lineRule="auto" w:before="1"/>
        <w:ind w:left="234"/>
      </w:pPr>
      <w:r>
        <w:rPr/>
        <w:t>CONSIDERANDO a necessidade de manutenção corretiva da subestação abrigada no prédio sede da Procuradoria-Geral </w:t>
      </w:r>
      <w:r>
        <w:rPr/>
        <w:t>de</w:t>
      </w:r>
      <w:r>
        <w:rPr>
          <w:spacing w:val="80"/>
        </w:rPr>
        <w:t> </w:t>
      </w:r>
      <w:r>
        <w:rPr/>
        <w:t>Justiça do Estado de Alagoas, localizada na Rua Dr. Pedro Jorge de Melo e Silva, nº 79, bairro do poço, Maceió/AL,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230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4179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4128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42816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2025-07-18T16:37:37Z</dcterms:created>
  <dcterms:modified xsi:type="dcterms:W3CDTF">2025-07-18T16:37:37Z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