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03"/>
        <w:ind w:left="0"/>
        <w:jc w:val="left"/>
        <w:rPr>
          <w:rFonts w:ascii="Times New Roman"/>
        </w:rPr>
      </w:pPr>
    </w:p>
    <w:p>
      <w:pPr>
        <w:pStyle w:val="BodyText"/>
        <w:jc w:val="left"/>
      </w:pPr>
      <w:r>
        <w:rPr/>
        <w:t>MAURÍCIO ANDRÉ BARROS </w:t>
      </w:r>
      <w:r>
        <w:rPr>
          <w:spacing w:val="-2"/>
        </w:rPr>
        <w:t>PITTA</w:t>
      </w:r>
    </w:p>
    <w:p>
      <w:pPr>
        <w:pStyle w:val="BodyText"/>
        <w:spacing w:before="9"/>
        <w:jc w:val="left"/>
      </w:pPr>
      <w:r>
        <w:rPr/>
        <w:t>Corregedor-Geral do Ministério </w:t>
      </w:r>
      <w:r>
        <w:rPr>
          <w:spacing w:val="-2"/>
        </w:rPr>
        <w:t>Público</w:t>
      </w:r>
    </w:p>
    <w:p>
      <w:pPr>
        <w:pStyle w:val="BodyText"/>
        <w:spacing w:before="9"/>
        <w:jc w:val="left"/>
      </w:pPr>
      <w:r>
        <w:rPr/>
        <w:t>* - </w:t>
      </w:r>
      <w:r>
        <w:rPr>
          <w:spacing w:val="-2"/>
        </w:rPr>
        <w:t>Republicado</w:t>
      </w:r>
    </w:p>
    <w:p>
      <w:pPr>
        <w:pStyle w:val="BodyText"/>
        <w:ind w:left="0"/>
        <w:jc w:val="left"/>
      </w:pPr>
    </w:p>
    <w:p>
      <w:pPr>
        <w:pStyle w:val="BodyText"/>
        <w:spacing w:before="27"/>
        <w:ind w:left="0"/>
        <w:jc w:val="left"/>
      </w:pPr>
    </w:p>
    <w:p>
      <w:pPr>
        <w:pStyle w:val="BodyText"/>
        <w:jc w:val="left"/>
      </w:pPr>
      <w:r>
        <w:rPr/>
        <w:t>ATO PGJ Nº </w:t>
      </w:r>
      <w:r>
        <w:rPr>
          <w:spacing w:val="-2"/>
        </w:rPr>
        <w:t>06/2023</w:t>
      </w:r>
    </w:p>
    <w:p>
      <w:pPr>
        <w:pStyle w:val="BodyText"/>
        <w:spacing w:before="18"/>
        <w:ind w:left="0"/>
        <w:jc w:val="left"/>
      </w:pPr>
    </w:p>
    <w:p>
      <w:pPr>
        <w:pStyle w:val="BodyText"/>
        <w:spacing w:line="249" w:lineRule="auto"/>
        <w:ind w:right="87"/>
      </w:pPr>
      <w:r>
        <w:rPr/>
        <w:t>Institui o Programa de atuação ministerial Abuso Sexual Notificar é Preciso visando a efetivação das notificações de casos de abuso sexual envolvendo crianças e adolescentes no Estado de Alagoas.</w:t>
      </w:r>
    </w:p>
    <w:p>
      <w:pPr>
        <w:pStyle w:val="BodyText"/>
        <w:spacing w:before="11"/>
        <w:ind w:left="0"/>
        <w:jc w:val="left"/>
      </w:pPr>
    </w:p>
    <w:p>
      <w:pPr>
        <w:pStyle w:val="BodyText"/>
        <w:spacing w:line="249" w:lineRule="auto"/>
        <w:ind w:right="67"/>
      </w:pPr>
      <w:r>
        <w:rPr/>
        <w:t>O PROCURADOR-GERAL DE JUSTIÇA, no uso de suas atribuições legais, especialmente as que lhe são conferidas pelo art.</w:t>
      </w:r>
      <w:r>
        <w:rPr>
          <w:spacing w:val="40"/>
        </w:rPr>
        <w:t> </w:t>
      </w:r>
      <w:r>
        <w:rPr/>
        <w:t>9º, incisos I e V, da Lei Complementar Estadual nº 15/96,</w:t>
      </w:r>
    </w:p>
    <w:p>
      <w:pPr>
        <w:pStyle w:val="BodyText"/>
        <w:spacing w:line="249" w:lineRule="auto" w:before="1"/>
        <w:ind w:right="64"/>
      </w:pPr>
      <w:r>
        <w:rPr/>
        <w:t>CONSIDERANDO que é dever da família, da sociedade e do Estado assegurar à criança, ao adolescente e ao jovem, com absoluta prioridade, o direito à vida, à saúde, à alimentação, à educação, ao lazer, à profissionalização, à cultura, à dignidade,</w:t>
      </w:r>
      <w:r>
        <w:rPr>
          <w:spacing w:val="40"/>
        </w:rPr>
        <w:t> </w:t>
      </w:r>
      <w:r>
        <w:rPr/>
        <w:t>ao respeito, à liberdade e à convivência familiar e comunitária, além de colocá-los a salvo de toda forma de negligência, discriminação, exploração, violência, crueldade e opressão (CF, art. 227).</w:t>
      </w:r>
    </w:p>
    <w:p>
      <w:pPr>
        <w:pStyle w:val="BodyText"/>
        <w:spacing w:line="249" w:lineRule="auto" w:before="3"/>
        <w:ind w:right="68"/>
      </w:pPr>
      <w:r>
        <w:rPr/>
        <w:t>CONSIDERANDO que o estupro de vulnerável representa um dos crimes mais comprometedores do bom rumo da sociedade e, por</w:t>
      </w:r>
      <w:r>
        <w:rPr>
          <w:spacing w:val="-1"/>
        </w:rPr>
        <w:t> </w:t>
      </w:r>
      <w:r>
        <w:rPr/>
        <w:t>transparecer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inversão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puro</w:t>
      </w:r>
      <w:r>
        <w:rPr>
          <w:spacing w:val="-1"/>
        </w:rPr>
        <w:t> </w:t>
      </w:r>
      <w:r>
        <w:rPr/>
        <w:t>conceito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cuidado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respeito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desenvolvimento,</w:t>
      </w:r>
      <w:r>
        <w:rPr>
          <w:spacing w:val="-1"/>
        </w:rPr>
        <w:t> </w:t>
      </w:r>
      <w:r>
        <w:rPr/>
        <w:t>é exemplar pujante de necessidade de resposta da justiça não sendo por outra razão que é um dos poucos crimes com mandamentos constitucionais de criminalização (CF, art. 227, §4º);</w:t>
      </w:r>
    </w:p>
    <w:p>
      <w:pPr>
        <w:pStyle w:val="BodyText"/>
        <w:spacing w:line="249" w:lineRule="auto" w:before="3"/>
        <w:ind w:right="87"/>
      </w:pPr>
      <w:r>
        <w:rPr/>
        <w:t>CONSIDERANDO que o crime de estupro de vulnerável configura-se com a conjunção carnal ou prática de ato libidinoso com menor de 14 anos, sendo irrelevante o eventual consentimento da vítima para a prática do ato, experiência sexual anterior ou existência de relacionamento amoroso com o agente (STJ, Súmula 593);</w:t>
      </w:r>
    </w:p>
    <w:p>
      <w:pPr>
        <w:pStyle w:val="BodyText"/>
        <w:spacing w:line="249" w:lineRule="auto" w:before="3"/>
        <w:ind w:right="85"/>
      </w:pPr>
      <w:r>
        <w:rPr/>
        <w:t>CONSIDERANDO a necessidade de atuação integrada e eficiente de todos os órgãos da rede de proteção à criança e ao adolescente e, bem assim, o dever de proteção de toda a sociedade;</w:t>
      </w:r>
    </w:p>
    <w:p>
      <w:pPr>
        <w:pStyle w:val="BodyText"/>
        <w:spacing w:line="249" w:lineRule="auto" w:before="1"/>
        <w:ind w:right="85"/>
      </w:pPr>
      <w:r>
        <w:rPr/>
        <w:t>CONSIDERANDO o bem-sucedido Projeto “Abuso Sexual: Notificar é Preciso”, em decorrência do qual foi expedida a Recomendação nº 01, no bojo do Procedimento Administrativo nº 09.2018.00000734- 1, que dispôs “sobre a necessidade e obrigação da comunicação aos órgãos responsáveis, dos casos de gravidez em crianças e adolescentes menores de 14 anos por parte das instituições de saúde que realizam o acompanhamento e/ou parto, face a ocorrência do crime de estupro de </w:t>
      </w:r>
      <w:r>
        <w:rPr>
          <w:spacing w:val="-2"/>
        </w:rPr>
        <w:t>vulnerável”.</w:t>
      </w:r>
    </w:p>
    <w:p>
      <w:pPr>
        <w:pStyle w:val="BodyText"/>
        <w:spacing w:line="249" w:lineRule="auto" w:before="4"/>
        <w:ind w:right="65"/>
      </w:pPr>
      <w:r>
        <w:rPr/>
        <w:t>CONSIDERANDO que após as atuações do Projeto “Abuso Sexual: Notificar é Preciso”, houve a criação, estruturação e ou reestruturação de diversos órgãos de proteção, a exemplo da Rede de Atenção às Vítimas de Violência Sexual – RAVVS, conforme a Portaria nº 5.857 da Secretaria de Estado da Saúde, publicada no dia 28 de setembro de 2020;</w:t>
      </w:r>
    </w:p>
    <w:p>
      <w:pPr>
        <w:pStyle w:val="BodyText"/>
        <w:spacing w:line="249" w:lineRule="auto" w:before="2"/>
        <w:ind w:right="85"/>
      </w:pPr>
      <w:r>
        <w:rPr/>
        <w:t>CONSIDERANDO que, no dia 22 de agosto de 2019, o Projeto “Abuso Sexual: Notificar é Preciso” recebeu o 1º Lugar no</w:t>
      </w:r>
      <w:r>
        <w:rPr>
          <w:spacing w:val="40"/>
        </w:rPr>
        <w:t> </w:t>
      </w:r>
      <w:r>
        <w:rPr/>
        <w:t>Prêmio CNMP 2019, na categoria "Redução da Criminalidade";</w:t>
      </w:r>
    </w:p>
    <w:p>
      <w:pPr>
        <w:pStyle w:val="BodyText"/>
        <w:spacing w:line="249" w:lineRule="auto" w:before="1"/>
        <w:ind w:right="67"/>
      </w:pPr>
      <w:r>
        <w:rPr/>
        <w:t>CONSIDERANDO que em razão da articulação do Projeto “Abuso Sexual: Notificar é Preciso” com os hospitais, maternidades, Conselhos Tutelares, Cartórios, Delegacia, até outubro de 2021, quando o Projeto foi encerrado, o Ministério Público recebeu aproximadamente 260 notificações de crianças/adolescentes que, a priori, jamais chegariam ao conhecimento da Rede de Proteção à Criança e ao Adolescente, cuidado-se, portanto, de importante instrumento de redução da cifra oculta de referidos </w:t>
      </w:r>
      <w:r>
        <w:rPr>
          <w:spacing w:val="-2"/>
        </w:rPr>
        <w:t>crimes;</w:t>
      </w:r>
    </w:p>
    <w:p>
      <w:pPr>
        <w:pStyle w:val="BodyText"/>
        <w:spacing w:line="249" w:lineRule="auto" w:before="4"/>
        <w:ind w:right="87"/>
      </w:pPr>
      <w:r>
        <w:rPr/>
        <w:t>CONSIDERANDO que no dia que no dia 02 de junho de 2021, foi publicada a Lei Estadual nº 8.424/2021, que “dispõe sobre a obrigatoriedade da comunicação dos cartórios de registro civil, hospitais e maternidades ao ministério público, da realização de registro de nascimento realizado por mães e/ou pais menores de 14 anos”.</w:t>
      </w:r>
    </w:p>
    <w:p>
      <w:pPr>
        <w:pStyle w:val="BodyText"/>
        <w:spacing w:line="249" w:lineRule="auto" w:before="2"/>
        <w:ind w:right="83"/>
      </w:pPr>
      <w:r>
        <w:rPr/>
        <w:t>CONSIDERANDO que apesar dos dados alarmantes apurados pelo Fórum Nacional de Segurança Pública, de que em 2021 foram registrados no Brasil 45.076 casos de estupro envolvendo crianças e adolescentes1 , conforme o Ministério dos Direitos Humanos e Cidadania “de acordo com pesquisas (TIC Kids online 2018), é estimado que menos de 10% dos casos de violência sexual contra crianças e adolescentes sejam denunciados às autoridades”2 , pelo que é imprescindível a criação de</w:t>
      </w:r>
      <w:r>
        <w:rPr>
          <w:spacing w:val="40"/>
        </w:rPr>
        <w:t> </w:t>
      </w:r>
      <w:r>
        <w:rPr/>
        <w:t>instrumentos eficientes de redução da cifra oculta em determinados crimes;</w:t>
      </w:r>
    </w:p>
    <w:p>
      <w:pPr>
        <w:pStyle w:val="BodyText"/>
        <w:spacing w:line="249" w:lineRule="auto" w:before="4"/>
        <w:ind w:right="85"/>
      </w:pPr>
      <w:r>
        <w:rPr/>
        <w:t>CONSIDERANDO que o Projeto Abuso Sexual: Notificar é Preciso promoveu a identificação de órgãos de primeiro contato, sua orientação através de diversas reuniões e palestras e integração desses órgãos através de meios simples e eficientes de comunicação entre a rede de proteção e o Ministério Público, portanto criando formas de solução para descoberta desse tipo de </w:t>
      </w:r>
      <w:r>
        <w:rPr>
          <w:spacing w:val="-2"/>
        </w:rPr>
        <w:t>delito;</w:t>
      </w:r>
    </w:p>
    <w:p>
      <w:pPr>
        <w:pStyle w:val="BodyText"/>
        <w:spacing w:line="249" w:lineRule="auto" w:before="3"/>
        <w:ind w:right="63"/>
      </w:pPr>
      <w:r>
        <w:rPr/>
        <w:t>CONSIDERANDO que em razão dos resultados expressivos do Projeto “Abuso Sexual: Notificar é Preciso” ele foi transformado na Lei Estadual nº 8.424/2021, conhecida como Lei do Notificar é Preciso, de modo que o projeto passou a ter efeitos em todo o Estado,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Alagoas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destacou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Anuário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Segurança</w:t>
      </w:r>
      <w:r>
        <w:rPr>
          <w:spacing w:val="-1"/>
        </w:rPr>
        <w:t> </w:t>
      </w:r>
      <w:r>
        <w:rPr/>
        <w:t>Pública: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violências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crianças e adolescentes no Brasil. 2022. Disponível em: . Acesso em 15 de março de 2023. 2 Ministério dos Direitos Humanos.</w:t>
      </w:r>
      <w:r>
        <w:rPr>
          <w:spacing w:val="40"/>
        </w:rPr>
        <w:t> </w:t>
      </w:r>
      <w:r>
        <w:rPr/>
        <w:t>Denúncias de Violência Sexual são maioria contra crianças e adolescentes. Disponível em: . Acesso em 15 de março de 2023. com a diminuição da subnotificação de casos de abuso sexual;</w:t>
      </w:r>
    </w:p>
    <w:p>
      <w:pPr>
        <w:pStyle w:val="BodyText"/>
        <w:spacing w:after="0" w:line="249" w:lineRule="auto"/>
        <w:sectPr>
          <w:headerReference w:type="default" r:id="rId5"/>
          <w:footerReference w:type="default" r:id="rId6"/>
          <w:type w:val="continuous"/>
          <w:pgSz w:w="11900" w:h="16840"/>
          <w:pgMar w:header="799" w:footer="725" w:top="2540" w:bottom="920" w:left="708" w:right="708"/>
          <w:pgNumType w:start="3"/>
        </w:sectPr>
      </w:pPr>
    </w:p>
    <w:p>
      <w:pPr>
        <w:pStyle w:val="BodyText"/>
        <w:spacing w:before="94"/>
        <w:ind w:left="0"/>
        <w:jc w:val="left"/>
      </w:pPr>
    </w:p>
    <w:p>
      <w:pPr>
        <w:pStyle w:val="BodyText"/>
        <w:spacing w:line="249" w:lineRule="auto"/>
        <w:ind w:right="85"/>
      </w:pPr>
      <w:r>
        <w:rPr/>
        <w:t>CONSIDERANDO que mesmo após o fim formal do projeto Abuso Sexual Notificar é Preciso, tal continuou em pleno vigor prático, com a continuidade das reuniões e articulação com os órgãos de primeiro contato e, após a edição da Lei do Notificar é Preciso (Lei Estadual nº 8.424/2021 ) reuniões com os órgãos de correição administrativa foram perpetradas de modo a criar estratégias de articulação e aproximação com o Ministério Público;</w:t>
      </w:r>
    </w:p>
    <w:p>
      <w:pPr>
        <w:pStyle w:val="BodyText"/>
        <w:spacing w:line="249" w:lineRule="auto" w:before="3"/>
        <w:ind w:right="66"/>
      </w:pPr>
      <w:r>
        <w:rPr/>
        <w:t>CONSIDERANDO que após a edição da Lei do Notificar é Preciso (Lei Estadual nº 8.424/2021) todos os órgãos de execução ministerial com atribuições respectivas passaram a receber as notificações dos órgãos de primeiro contato e, por assim ser, houve maior aproximação entre membros para troca de informações e estratégias de atuação;</w:t>
      </w:r>
    </w:p>
    <w:p>
      <w:pPr>
        <w:pStyle w:val="BodyText"/>
        <w:spacing w:line="249" w:lineRule="auto" w:before="2"/>
        <w:ind w:right="67"/>
      </w:pPr>
      <w:r>
        <w:rPr/>
        <w:t>CONSIDERANDO que foi editada a Lei 14.344 de 24 de maio de 2022, que cria normas que melhoram o combate de abuso de crianças e adolescentes, se harmonizando com perfeição às estratégias e objetivos do Projeto Abuso Sexual: Notificar é</w:t>
      </w:r>
      <w:r>
        <w:rPr>
          <w:spacing w:val="80"/>
        </w:rPr>
        <w:t> </w:t>
      </w:r>
      <w:r>
        <w:rPr/>
        <w:t>Preciso, inclusive a tipificação da falta de comunicação/notificação de abusos sexuais, conforme norma disposta no artigo 26: “deixar de comunicar à autoridade pública a prática de violência, de tratamento cruel ou degradante ou de formas violentas de educação, correção ou disciplina contra criança ou adolescente ou o abandono de incapaz”; e,</w:t>
      </w:r>
    </w:p>
    <w:p>
      <w:pPr>
        <w:pStyle w:val="BodyText"/>
        <w:spacing w:line="249" w:lineRule="auto" w:before="4"/>
        <w:ind w:right="86"/>
      </w:pPr>
      <w:r>
        <w:rPr/>
        <w:t>CONSIDERANDO que o presente está alinhado com a Ação Estratégica P3.A1:“Desenvolvimento e estruturação da rede de proteção à criança e adolescente, vítimas de crimes”, incluída no Planejamento Estratégico Institucional 2023, do Ministério Público de Alagoas.</w:t>
      </w:r>
    </w:p>
    <w:p>
      <w:pPr>
        <w:pStyle w:val="BodyText"/>
        <w:spacing w:line="249" w:lineRule="auto" w:before="2"/>
        <w:ind w:right="86"/>
      </w:pPr>
      <w:r>
        <w:rPr/>
        <w:t>CONSIDERANDO as diretrizes estratégicas da Carta de Brasília3 , que preconiza a atuação ministerial baseada em Planos de Atuação, Programas Institucionais e Projetos Executivos que estejam em sintonia com o planejamento estratégico institucional bem como a imperiosa necessidade de atuação proativa por parte dos membros do ministério público, que valorize e priorize atuações preventivas;</w:t>
      </w:r>
    </w:p>
    <w:p>
      <w:pPr>
        <w:pStyle w:val="BodyText"/>
        <w:spacing w:before="12"/>
        <w:ind w:left="0"/>
        <w:jc w:val="left"/>
      </w:pPr>
    </w:p>
    <w:p>
      <w:pPr>
        <w:pStyle w:val="BodyText"/>
        <w:jc w:val="left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  <w:jc w:val="left"/>
      </w:pPr>
    </w:p>
    <w:p>
      <w:pPr>
        <w:pStyle w:val="BodyText"/>
        <w:spacing w:line="249" w:lineRule="auto"/>
        <w:ind w:right="85"/>
      </w:pPr>
      <w:r>
        <w:rPr/>
        <w:t>Art. 1º Instituir o Programa Abuso Sexual: Notificar é Preciso no âmbito das atribuições do Ministério Público do Estado de </w:t>
      </w:r>
      <w:r>
        <w:rPr>
          <w:spacing w:val="-2"/>
        </w:rPr>
        <w:t>Alagoas.</w:t>
      </w:r>
    </w:p>
    <w:p>
      <w:pPr>
        <w:pStyle w:val="BodyText"/>
        <w:spacing w:line="249" w:lineRule="auto" w:before="2"/>
        <w:ind w:right="88"/>
      </w:pPr>
      <w:r>
        <w:rPr/>
        <w:t>Art.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Abuso</w:t>
      </w:r>
      <w:r>
        <w:rPr>
          <w:spacing w:val="-2"/>
        </w:rPr>
        <w:t> </w:t>
      </w:r>
      <w:r>
        <w:rPr/>
        <w:t>Sexual:</w:t>
      </w:r>
      <w:r>
        <w:rPr>
          <w:spacing w:val="-2"/>
        </w:rPr>
        <w:t> </w:t>
      </w:r>
      <w:r>
        <w:rPr/>
        <w:t>Notificar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Preciso,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caráter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âmbito</w:t>
      </w:r>
      <w:r>
        <w:rPr>
          <w:spacing w:val="-2"/>
        </w:rPr>
        <w:t> </w:t>
      </w:r>
      <w:r>
        <w:rPr/>
        <w:t>estadual,</w:t>
      </w:r>
      <w:r>
        <w:rPr>
          <w:spacing w:val="-2"/>
        </w:rPr>
        <w:t> </w:t>
      </w:r>
      <w:r>
        <w:rPr/>
        <w:t>tem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finalidade: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Carta</w:t>
      </w:r>
      <w:r>
        <w:rPr>
          <w:spacing w:val="-2"/>
        </w:rPr>
        <w:t> </w:t>
      </w:r>
      <w:r>
        <w:rPr/>
        <w:t>de Brasília - Acordo celebrado pela Corregedoria Nacional do Ministério Público e Corregedorias estaduais e da União, visando a modernização do controle da atividade extrajudicial e o fomento à atuação resolutiva do MP Brasileiro.</w:t>
      </w:r>
    </w:p>
    <w:p>
      <w:pPr>
        <w:pStyle w:val="ListParagraph"/>
        <w:numPr>
          <w:ilvl w:val="0"/>
          <w:numId w:val="1"/>
        </w:numPr>
        <w:tabs>
          <w:tab w:pos="199" w:val="left" w:leader="none"/>
        </w:tabs>
        <w:spacing w:line="249" w:lineRule="auto" w:before="2" w:after="0"/>
        <w:ind w:left="92" w:right="87" w:firstLine="0"/>
        <w:jc w:val="both"/>
        <w:rPr>
          <w:sz w:val="18"/>
        </w:rPr>
      </w:pPr>
      <w:r>
        <w:rPr>
          <w:sz w:val="18"/>
        </w:rPr>
        <w:t>– orientar e integrar os órgãos de primeiro contato, como Hospitais, Maternidades, Escolas (públicas e privadas), Conselhos Tutelares e Unidades Básicas de Saúde, buscando o cumprimento das notificações de casos de abuso sexual;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9" w:lineRule="auto" w:before="2" w:after="0"/>
        <w:ind w:left="92" w:right="88" w:firstLine="0"/>
        <w:jc w:val="both"/>
        <w:rPr>
          <w:sz w:val="18"/>
        </w:rPr>
      </w:pPr>
      <w:r>
        <w:rPr>
          <w:sz w:val="18"/>
        </w:rPr>
        <w:t>– fiscalizar o cumprimento da Lei N. 14.344, Lei do Notificar é Preciso (Lei Estadual nº 8.424/2021), potencializando a atuação ministerial no combate ao abuso sexual de crianças e adolescentes e, bem assim, a redução de subnotificações;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" w:after="0"/>
        <w:ind w:left="292" w:right="0" w:hanging="200"/>
        <w:jc w:val="both"/>
        <w:rPr>
          <w:sz w:val="18"/>
        </w:rPr>
      </w:pPr>
      <w:r>
        <w:rPr>
          <w:sz w:val="18"/>
        </w:rPr>
        <w:t>– promover a orientação e aproximação entre órgãos de execução do Ministério Público de </w:t>
      </w:r>
      <w:r>
        <w:rPr>
          <w:spacing w:val="-2"/>
          <w:sz w:val="18"/>
        </w:rPr>
        <w:t>Alagoas;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9" w:lineRule="auto" w:before="9" w:after="0"/>
        <w:ind w:left="92" w:right="65" w:firstLine="0"/>
        <w:jc w:val="both"/>
        <w:rPr>
          <w:sz w:val="18"/>
        </w:rPr>
      </w:pPr>
      <w:r>
        <w:rPr>
          <w:sz w:val="18"/>
        </w:rPr>
        <w:t>– potencializar a persecução criminal, inclusive quanto ao cumprimento da Lei do Depoimento Especial (Lei 13.431/17), através de orientação e reuniões periódicas com os órgãos da rede de proteção e órgãos de primeiro contato;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9" w:lineRule="auto" w:before="1" w:after="0"/>
        <w:ind w:left="92" w:right="88" w:firstLine="0"/>
        <w:jc w:val="both"/>
        <w:rPr>
          <w:sz w:val="18"/>
        </w:rPr>
      </w:pPr>
      <w:r>
        <w:rPr>
          <w:sz w:val="18"/>
        </w:rPr>
        <w:t>- mensurar e avaliar periodicamente as iniciativas estratégicas relacionadas e os resultados obtidos com as ações específicas do Programa, objetivando aperfeiçoar o processo de execução e conhecimento, bem como o impacto social;</w:t>
      </w:r>
    </w:p>
    <w:p>
      <w:pPr>
        <w:pStyle w:val="BodyText"/>
        <w:spacing w:line="249" w:lineRule="auto" w:before="2"/>
        <w:ind w:right="86"/>
      </w:pPr>
      <w:r>
        <w:rPr/>
        <w:t>Art. 3º A supervisão do Programa Abuso Sexual: Notificar é Preciso ficará a cargo das 59ª e 60ª Promotorias de Justiça da Capital, instituidoras do programa, juntamente ao Núcleo da Defesa da Infância e Juventude e Centro de Apoio Operacional – CAOP, buscando o cumprimento das ações determinadas neste ato, preservando-se a atuação das promotorias naturais.</w:t>
      </w:r>
    </w:p>
    <w:p>
      <w:pPr>
        <w:pStyle w:val="BodyText"/>
        <w:spacing w:line="249" w:lineRule="auto" w:before="2"/>
        <w:ind w:right="85"/>
      </w:pPr>
      <w:r>
        <w:rPr/>
        <w:t>§1º A equipe responsável pelo planejamento e execução das ações do programa manterá o Comitê de Gestão Estratégica informado das ações e resultados para fins de monitoramento.</w:t>
      </w:r>
    </w:p>
    <w:p>
      <w:pPr>
        <w:pStyle w:val="BodyText"/>
        <w:spacing w:line="249" w:lineRule="auto" w:before="2"/>
        <w:ind w:right="85"/>
      </w:pPr>
      <w:r>
        <w:rPr/>
        <w:t>§ 2º Os projetos que porventura venham a ser desenvolvidos em alinhamento ao programa deverão atender à metodologia adotada pelo MPAL e disponibilizada pela Assessoria de Planejamento e Gestão Estratégica, no que tange à elaboração e </w:t>
      </w:r>
      <w:r>
        <w:rPr>
          <w:spacing w:val="-2"/>
        </w:rPr>
        <w:t>monitoramento</w:t>
      </w:r>
    </w:p>
    <w:p>
      <w:pPr>
        <w:pStyle w:val="BodyText"/>
        <w:spacing w:line="249" w:lineRule="auto" w:before="2"/>
        <w:ind w:right="85"/>
      </w:pPr>
      <w:r>
        <w:rPr/>
        <w:t>Art. 4º O Programa Abuso Sexual: Notificar é Preciso envolverá diretamente as Procuradorias, Promotorias de Justiça e o</w:t>
      </w:r>
      <w:r>
        <w:rPr>
          <w:spacing w:val="40"/>
        </w:rPr>
        <w:t> </w:t>
      </w:r>
      <w:r>
        <w:rPr/>
        <w:t>Centro de Apoio Operacional do Ministério Público de Alagoas, através de seus Núcleos e, inicialmente, os seguintes órgãos e entidades: Secretaria de Estado da Segurança Pública, por meio da Polícia Judiciária, a Secretaria de Estado de Prevenção à Violência – SEPREV, Secretaria de Estado e Municipais da Saúde e Assistência Social e Corregedoria-Geral de Justiça de </w:t>
      </w:r>
      <w:r>
        <w:rPr>
          <w:spacing w:val="-2"/>
        </w:rPr>
        <w:t>Alagoas.</w:t>
      </w:r>
    </w:p>
    <w:p>
      <w:pPr>
        <w:pStyle w:val="BodyText"/>
        <w:spacing w:line="249" w:lineRule="auto" w:before="4"/>
        <w:ind w:right="84"/>
      </w:pPr>
      <w:r>
        <w:rPr/>
        <w:t>Parágrafo único - Para execução das ações atinentes ao presente programa o MPAL poderá estabelecer parcerias com instituições públicas ou privadas, visando alcançar os objetivos propostos.</w:t>
      </w:r>
    </w:p>
    <w:p>
      <w:pPr>
        <w:pStyle w:val="BodyText"/>
        <w:spacing w:line="249" w:lineRule="auto" w:before="1"/>
        <w:ind w:right="87"/>
      </w:pPr>
      <w:r>
        <w:rPr/>
        <w:t>Art. 5º Todos os órgãos e unidades do Ministério Público do Estado de Alagoas deverão prestar apoio necessário ao êxito do programa instituído por este Ato.</w:t>
      </w:r>
    </w:p>
    <w:p>
      <w:pPr>
        <w:pStyle w:val="BodyText"/>
        <w:spacing w:line="249" w:lineRule="auto" w:before="2"/>
        <w:ind w:right="4113"/>
        <w:jc w:val="left"/>
      </w:pPr>
      <w:r>
        <w:rPr/>
        <w:t>Art.</w:t>
      </w:r>
      <w:r>
        <w:rPr>
          <w:spacing w:val="-4"/>
        </w:rPr>
        <w:t> </w:t>
      </w:r>
      <w:r>
        <w:rPr/>
        <w:t>6º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omissos</w:t>
      </w:r>
      <w:r>
        <w:rPr>
          <w:spacing w:val="-4"/>
        </w:rPr>
        <w:t> </w:t>
      </w:r>
      <w:r>
        <w:rPr/>
        <w:t>serão</w:t>
      </w:r>
      <w:r>
        <w:rPr>
          <w:spacing w:val="-4"/>
        </w:rPr>
        <w:t> </w:t>
      </w:r>
      <w:r>
        <w:rPr/>
        <w:t>decididos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Justiça. Art. 7º Este Ato entrará em vigor na data de sua publicação.</w:t>
      </w:r>
    </w:p>
    <w:p>
      <w:pPr>
        <w:pStyle w:val="BodyText"/>
        <w:spacing w:before="1"/>
        <w:jc w:val="left"/>
      </w:pPr>
      <w:r>
        <w:rPr/>
        <w:t>Gabinete do Gabinete do Procurador-Geral de Justiça, em Maceió, 3 de maio de </w:t>
      </w:r>
      <w:r>
        <w:rPr>
          <w:spacing w:val="-2"/>
        </w:rPr>
        <w:t>2023.</w:t>
      </w:r>
    </w:p>
    <w:p>
      <w:pPr>
        <w:pStyle w:val="BodyText"/>
        <w:ind w:left="0"/>
        <w:jc w:val="left"/>
      </w:pPr>
    </w:p>
    <w:p>
      <w:pPr>
        <w:pStyle w:val="BodyText"/>
        <w:spacing w:before="27"/>
        <w:ind w:left="0"/>
        <w:jc w:val="left"/>
      </w:pPr>
    </w:p>
    <w:p>
      <w:pPr>
        <w:pStyle w:val="BodyText"/>
        <w:jc w:val="left"/>
      </w:pPr>
      <w:r>
        <w:rPr/>
        <w:t>MÁRCIO ROBERTO TENÓRIO DE </w:t>
      </w:r>
      <w:r>
        <w:rPr>
          <w:spacing w:val="-2"/>
        </w:rPr>
        <w:t>ALBUQUERQUE</w:t>
      </w:r>
    </w:p>
    <w:sectPr>
      <w:pgSz w:w="11900" w:h="16840"/>
      <w:pgMar w:header="799" w:footer="725" w:top="2540" w:bottom="9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84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7793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77881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1376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27520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752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jc w:val="left"/>
                          </w:pPr>
                          <w:r>
                            <w:rPr/>
                            <w:t>Data de disponibilização: 4 de maio de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pt;margin-top:107.882538pt;width:179.15pt;height:12.1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jc w:val="left"/>
                    </w:pPr>
                    <w:r>
                      <w:rPr/>
                      <w:t>Data de disponibilização: 4 de maio de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6403473</wp:posOffset>
              </wp:positionH>
              <wp:positionV relativeFrom="page">
                <wp:posOffset>1370108</wp:posOffset>
              </wp:positionV>
              <wp:extent cx="73469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34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jc w:val="left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5"/>
                            </w:rPr>
                            <w:t>882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210541pt;margin-top:107.882538pt;width:57.85pt;height:12.1pt;mso-position-horizontal-relative:page;mso-position-vertical-relative:page;z-index:-157803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jc w:val="left"/>
                    </w:pPr>
                    <w:r>
                      <w:rPr/>
                      <w:t>Edição nº </w:t>
                    </w:r>
                    <w:r>
                      <w:rPr>
                        <w:spacing w:val="-5"/>
                      </w:rPr>
                      <w:t>882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92" w:hanging="1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92"/>
      <w:jc w:val="both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92" w:right="8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2025-07-21T14:22:13Z</dcterms:created>
  <dcterms:modified xsi:type="dcterms:W3CDTF">2025-07-21T14:22:13Z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