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29 de janeiro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1299</w:t>
      </w:r>
    </w:p>
    <w:p>
      <w:pPr>
        <w:pStyle w:val="BodyText"/>
        <w:spacing w:before="1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498538</wp:posOffset>
                </wp:positionH>
                <wp:positionV relativeFrom="paragraph">
                  <wp:posOffset>257972</wp:posOffset>
                </wp:positionV>
                <wp:extent cx="6559550" cy="95758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59550" cy="957580"/>
                          <a:chExt cx="6559550" cy="9575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55002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948055">
                                <a:moveTo>
                                  <a:pt x="0" y="0"/>
                                </a:moveTo>
                                <a:lnTo>
                                  <a:pt x="0" y="947801"/>
                                </a:lnTo>
                              </a:path>
                              <a:path w="6550025" h="948055">
                                <a:moveTo>
                                  <a:pt x="0" y="947801"/>
                                </a:moveTo>
                                <a:lnTo>
                                  <a:pt x="6550025" y="947801"/>
                                </a:lnTo>
                              </a:path>
                              <a:path w="6550025" h="948055">
                                <a:moveTo>
                                  <a:pt x="6550025" y="947801"/>
                                </a:moveTo>
                                <a:lnTo>
                                  <a:pt x="6550025" y="0"/>
                                </a:lnTo>
                              </a:path>
                              <a:path w="6550025" h="948055">
                                <a:moveTo>
                                  <a:pt x="655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3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9471" y="58489"/>
                            <a:ext cx="4116070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35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LEAN ANTÔNIO FERREIRA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ARAÚJO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66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PROCURADOR-GERAL DE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92" w:val="left" w:leader="none"/>
                                </w:tabs>
                                <w:spacing w:line="171" w:lineRule="exact" w:before="1"/>
                                <w:ind w:left="3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WALBER JOSÉ VALENTE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LIMA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  <w:t>SÉRGIO ROCHA CAVALCANTI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JUCÁ</w:t>
                              </w:r>
                            </w:p>
                            <w:p>
                              <w:pPr>
                                <w:tabs>
                                  <w:tab w:pos="4038" w:val="left" w:leader="none"/>
                                </w:tabs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Administrativo-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Institucional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Subprocurador-Geral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Judicial</w:t>
                              </w:r>
                            </w:p>
                            <w:p>
                              <w:pPr>
                                <w:spacing w:before="101"/>
                                <w:ind w:left="1364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EDUARDO TAVARES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MENDES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28357" y="775150"/>
                            <a:ext cx="16649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Corregedor-Geral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21086" y="387038"/>
                            <a:ext cx="212217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80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VALTER JOSÉ DE OMENA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ACIOLY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01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Recursal</w:t>
                              </w:r>
                            </w:p>
                            <w:p>
                              <w:pPr>
                                <w:spacing w:line="171" w:lineRule="exact" w:before="101"/>
                                <w:ind w:left="0" w:right="83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MAURÍCIO ANDRÉ BARROS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PITTA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0" w:right="83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Ouvidor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5001pt;margin-top:20.312782pt;width:516.5pt;height:75.4pt;mso-position-horizontal-relative:page;mso-position-vertical-relative:paragraph;z-index:-15727616;mso-wrap-distance-left:0;mso-wrap-distance-right:0" id="docshapegroup4" coordorigin="785,406" coordsize="10330,1508">
                <v:shape style="position:absolute;left:792;top:413;width:10315;height:1493" id="docshape5" coordorigin="793,414" coordsize="10315,1493" path="m793,414l793,1906m793,1906l11108,1906m11108,1906l11108,414m11108,414l793,414e" filled="false" stroked="true" strokeweight=".75pt" strokecolor="#00336a">
                  <v:path arrowok="t"/>
                  <v:stroke dashstyle="solid"/>
                </v:shape>
                <v:shape style="position:absolute;left:926;top:498;width:6482;height:1128" type="#_x0000_t202" id="docshape6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3566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LEAN ANTÔNIO FERREIRA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ARAÚJO</w:t>
                        </w:r>
                      </w:p>
                      <w:p>
                        <w:pPr>
                          <w:spacing w:line="171" w:lineRule="exact" w:before="0"/>
                          <w:ind w:left="3566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PROCURADOR-GERAL DE </w:t>
                        </w:r>
                        <w:r>
                          <w:rPr>
                            <w:spacing w:val="-2"/>
                            <w:sz w:val="15"/>
                          </w:rPr>
                          <w:t>JUSTIÇA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92" w:val="left" w:leader="none"/>
                          </w:tabs>
                          <w:spacing w:line="171" w:lineRule="exact" w:before="1"/>
                          <w:ind w:left="367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WALBER JOSÉ VALENTE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LIMA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  <w:t>SÉRGIO ROCHA CAVALCANTI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JUCÁ</w:t>
                        </w:r>
                      </w:p>
                      <w:p>
                        <w:pPr>
                          <w:tabs>
                            <w:tab w:pos="4038" w:val="left" w:leader="none"/>
                          </w:tabs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Administrativo-</w:t>
                        </w:r>
                        <w:r>
                          <w:rPr>
                            <w:spacing w:val="-2"/>
                            <w:sz w:val="15"/>
                          </w:rPr>
                          <w:t>Institucional</w:t>
                        </w:r>
                        <w:r>
                          <w:rPr>
                            <w:sz w:val="15"/>
                          </w:rPr>
                          <w:tab/>
                          <w:t>Subprocurador-Geral</w:t>
                        </w:r>
                        <w:r>
                          <w:rPr>
                            <w:spacing w:val="-2"/>
                            <w:sz w:val="15"/>
                          </w:rPr>
                          <w:t> Judicial</w:t>
                        </w:r>
                      </w:p>
                      <w:p>
                        <w:pPr>
                          <w:spacing w:before="101"/>
                          <w:ind w:left="1364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EDUARDO TAVARES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MENDES</w:t>
                        </w:r>
                      </w:p>
                    </w:txbxContent>
                  </v:textbox>
                  <w10:wrap type="none"/>
                </v:shape>
                <v:shape style="position:absolute;left:2089;top:1626;width:2622;height:168" type="#_x0000_t202" id="docshape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Corregedor-Geral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v:shape style="position:absolute;left:7275;top:1015;width:3342;height:779" type="#_x0000_t202" id="docshape8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801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VALTER JOSÉ DE OMENA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ACIOLY</w:t>
                        </w:r>
                      </w:p>
                      <w:p>
                        <w:pPr>
                          <w:spacing w:line="171" w:lineRule="exact" w:before="0"/>
                          <w:ind w:left="801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</w:t>
                        </w:r>
                        <w:r>
                          <w:rPr>
                            <w:spacing w:val="-2"/>
                            <w:sz w:val="15"/>
                          </w:rPr>
                          <w:t>Recursal</w:t>
                        </w:r>
                      </w:p>
                      <w:p>
                        <w:pPr>
                          <w:spacing w:line="171" w:lineRule="exact" w:before="101"/>
                          <w:ind w:left="0" w:right="839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MAURÍCIO ANDRÉ BARROS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PITTA</w:t>
                        </w:r>
                      </w:p>
                      <w:p>
                        <w:pPr>
                          <w:spacing w:line="171" w:lineRule="exact" w:before="0"/>
                          <w:ind w:left="0" w:right="83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Ouvidor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ind w:left="0"/>
      </w:pPr>
    </w:p>
    <w:p>
      <w:pPr>
        <w:pStyle w:val="BodyText"/>
        <w:spacing w:before="2"/>
        <w:ind w:left="0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4086"/>
        <w:gridCol w:w="3172"/>
      </w:tblGrid>
      <w:tr>
        <w:trPr>
          <w:trHeight w:val="344" w:hRule="atLeast"/>
        </w:trPr>
        <w:tc>
          <w:tcPr>
            <w:tcW w:w="3057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3"/>
              <w:jc w:val="right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 w:right="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25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984"/>
              <w:jc w:val="left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105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87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95"/>
              <w:jc w:val="right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36"/>
              <w:jc w:val="right"/>
              <w:rPr>
                <w:sz w:val="15"/>
              </w:rPr>
            </w:pPr>
            <w:r>
              <w:rPr>
                <w:sz w:val="15"/>
              </w:rPr>
              <w:t>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1293" w:right="710" w:hanging="196"/>
              <w:jc w:val="left"/>
              <w:rPr>
                <w:sz w:val="15"/>
              </w:rPr>
            </w:pPr>
            <w:r>
              <w:rPr>
                <w:sz w:val="15"/>
              </w:rPr>
              <w:t>Luiz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José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Gomes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Vasconcelos Sandra Malta Prata Lima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252"/>
              <w:rPr>
                <w:sz w:val="15"/>
              </w:rPr>
            </w:pPr>
            <w:r>
              <w:rPr>
                <w:sz w:val="15"/>
              </w:rPr>
              <w:t>Silvana de Almeida </w:t>
            </w:r>
            <w:r>
              <w:rPr>
                <w:spacing w:val="-2"/>
                <w:sz w:val="15"/>
              </w:rPr>
              <w:t>Abreu</w:t>
            </w:r>
          </w:p>
        </w:tc>
      </w:tr>
      <w:tr>
        <w:trPr>
          <w:trHeight w:val="75" w:hRule="atLeast"/>
        </w:trPr>
        <w:tc>
          <w:tcPr>
            <w:tcW w:w="3057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86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72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057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876"/>
              <w:jc w:val="left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25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41"/>
              <w:jc w:val="right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72" w:right="710" w:firstLine="329"/>
              <w:jc w:val="left"/>
              <w:rPr>
                <w:sz w:val="15"/>
              </w:rPr>
            </w:pPr>
            <w:r>
              <w:rPr>
                <w:sz w:val="15"/>
              </w:rPr>
              <w:t>Maurício André Barros Pitta Kícia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Oliveira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Cabral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Vasconcellos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right="25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</w:tbl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209562</wp:posOffset>
                </wp:positionV>
                <wp:extent cx="39243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500977pt;width:309pt;height:.1pt;mso-position-horizontal-relative:page;mso-position-vertical-relative:paragraph;z-index:-15727104;mso-wrap-distance-left:0;mso-wrap-distance-right:0" id="docshape9" coordorigin="2860,330" coordsize="6180,0" path="m2860,330l9040,330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ind w:left="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6592;mso-wrap-distance-left:0;mso-wrap-distance-right:0" id="docshape10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ind w:left="0"/>
        <w:rPr>
          <w:rFonts w:ascii="Arial"/>
          <w:b/>
        </w:rPr>
      </w:pPr>
    </w:p>
    <w:p>
      <w:pPr>
        <w:pStyle w:val="BodyText"/>
        <w:spacing w:before="0"/>
      </w:pPr>
      <w:r>
        <w:rPr/>
        <w:t>ATO PGJ Nº </w:t>
      </w:r>
      <w:r>
        <w:rPr>
          <w:spacing w:val="-2"/>
        </w:rPr>
        <w:t>03/2025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 w:before="1"/>
        <w:ind w:right="225"/>
        <w:jc w:val="both"/>
      </w:pPr>
      <w:r>
        <w:rPr/>
        <w:t>Institui o Sistema de Monitoramento e Segurança Eletrônica do Ministério Público do Estado de Alagoas e dispõe sobre o tratamento dos dados capturados a partir das câmeras de monitoramento e sensores, de acordo com a Lei Federal nº 13.709/2018 (Lei Geral de Proteção de Dados) e Ato nº 21/2024 – PGJ/AL.</w:t>
      </w:r>
    </w:p>
    <w:p>
      <w:pPr>
        <w:pStyle w:val="BodyText"/>
        <w:spacing w:before="11"/>
        <w:ind w:left="0"/>
      </w:pPr>
    </w:p>
    <w:p>
      <w:pPr>
        <w:pStyle w:val="BodyText"/>
        <w:spacing w:before="0"/>
      </w:pPr>
      <w:r>
        <w:rPr/>
        <w:t>O PROCURADOR-GERAL DE JUSTIÇA, no uso de suas atribuições legais, </w:t>
      </w:r>
      <w:r>
        <w:rPr>
          <w:spacing w:val="-10"/>
        </w:rPr>
        <w:t>e</w:t>
      </w:r>
    </w:p>
    <w:p>
      <w:pPr>
        <w:pStyle w:val="BodyText"/>
        <w:spacing w:line="249" w:lineRule="auto"/>
        <w:ind w:right="229"/>
        <w:jc w:val="both"/>
      </w:pPr>
      <w:r>
        <w:rPr/>
        <w:t>CONSIDERANDO as disposições do Art. 5º, LXXIX da Constituição Federal, da Lei n° 13.709/2018 (Lei Geral de Proteção de Dados), da Lei Federal nº 12.527/2011 (Lei de Acesso à Informação), da Lei Federal nº 12.965/2014 (Marco Civil da Internet) e do Ato nº 21/2024 – PGJ/AL;</w:t>
      </w:r>
    </w:p>
    <w:p>
      <w:pPr>
        <w:pStyle w:val="BodyText"/>
        <w:spacing w:line="249" w:lineRule="auto" w:before="2"/>
        <w:ind w:right="229"/>
        <w:jc w:val="both"/>
      </w:pPr>
      <w:r>
        <w:rPr/>
        <w:t>CONSIDERANDO os termos da Lei Federal n° 8.625/1993 (Lei Orgânica Nacional do Ministério Púbico), da Lei Complementar Estadual n° 15/1996, bem como as boas práticas de governança de dados e segurança da informação;</w:t>
      </w:r>
    </w:p>
    <w:p>
      <w:pPr>
        <w:pStyle w:val="BodyText"/>
        <w:spacing w:line="249" w:lineRule="auto" w:before="1"/>
        <w:ind w:right="227"/>
        <w:jc w:val="both"/>
      </w:pPr>
      <w:r>
        <w:rPr/>
        <w:t>CONSIDERANDO a necessidade de adoção de medidas de segurança, técnicas e administrativas aptas a proteger os dados pessoais de acessos não autorizados e de situações acidentais ou ilícitas de destruição, perda, alteração, comunicação ou qualquer outra forma de tratamento inadequado ou ilícito;</w:t>
      </w:r>
    </w:p>
    <w:p>
      <w:pPr>
        <w:pStyle w:val="BodyText"/>
        <w:spacing w:line="249" w:lineRule="auto" w:before="3"/>
        <w:ind w:right="224"/>
        <w:jc w:val="both"/>
      </w:pPr>
      <w:r>
        <w:rPr/>
        <w:t>CONSIDERANDO a necessidade de coordenação e gerenciamento de plano interno de governança dirigidos à </w:t>
      </w:r>
      <w:r>
        <w:rPr/>
        <w:t>efetiva implantação e integração da LGPD nas atividades desenvolvidas pelo Ministério Público do Estado de Alagoas;</w:t>
      </w:r>
    </w:p>
    <w:p>
      <w:pPr>
        <w:pStyle w:val="Heading2"/>
        <w:spacing w:before="1"/>
      </w:pPr>
      <w:r>
        <w:rPr/>
        <w:t>R E S O L V </w:t>
      </w:r>
      <w:r>
        <w:rPr>
          <w:spacing w:val="-5"/>
        </w:rPr>
        <w:t>E:</w:t>
      </w:r>
    </w:p>
    <w:p>
      <w:pPr>
        <w:spacing w:before="9"/>
        <w:ind w:left="234" w:right="0" w:firstLine="0"/>
        <w:jc w:val="left"/>
        <w:rPr>
          <w:sz w:val="18"/>
        </w:rPr>
      </w:pPr>
      <w:r>
        <w:rPr>
          <w:sz w:val="18"/>
        </w:rPr>
        <w:t>CAPÍTULO </w:t>
      </w:r>
      <w:r>
        <w:rPr>
          <w:spacing w:val="-10"/>
          <w:sz w:val="18"/>
        </w:rPr>
        <w:t>I</w:t>
      </w:r>
    </w:p>
    <w:p>
      <w:pPr>
        <w:pStyle w:val="BodyText"/>
        <w:jc w:val="both"/>
      </w:pPr>
      <w:r>
        <w:rPr/>
        <w:t>Das Disposições </w:t>
      </w:r>
      <w:r>
        <w:rPr>
          <w:spacing w:val="-2"/>
        </w:rPr>
        <w:t>Preliminares</w:t>
      </w:r>
    </w:p>
    <w:p>
      <w:pPr>
        <w:pStyle w:val="BodyText"/>
        <w:spacing w:line="249" w:lineRule="auto"/>
        <w:ind w:right="228"/>
        <w:jc w:val="both"/>
      </w:pPr>
      <w:r>
        <w:rPr/>
        <w:t>Art. 1º – Instituir, no âmbito do Ministério Público do Estado de Alagoas – MPAL, o Sistema de Monitoramento e Segurança Eletrônica, realizado por meio de Circuito Fechado de Televisão – CFTV e Centrais de Alarme de Intrusão, com a utilização de câmeras de monitoramento e sensores, distribuídos nas dependências internas do MPAL.</w:t>
      </w:r>
    </w:p>
    <w:p>
      <w:pPr>
        <w:pStyle w:val="BodyText"/>
        <w:spacing w:line="249" w:lineRule="auto" w:before="2"/>
        <w:ind w:right="230"/>
        <w:jc w:val="both"/>
      </w:pPr>
      <w:r>
        <w:rPr/>
        <w:t>Art. 2º – O Procurador-Geral de Justiça, através da assessoria do Núcleo de Gestão da Informação e Segurança Institucional – NGI/SI e da Assessoria Militar, unidades responsáveis pela segurança institucional, é o responsável pela administração e coordenação do sistema.</w:t>
      </w:r>
    </w:p>
    <w:p>
      <w:pPr>
        <w:pStyle w:val="BodyText"/>
        <w:spacing w:before="3"/>
        <w:jc w:val="both"/>
      </w:pPr>
      <w:r>
        <w:rPr/>
        <w:t>Art. 3º – O Sistema de Monitoramento e Segurança Eletrônica tem como </w:t>
      </w:r>
      <w:r>
        <w:rPr>
          <w:spacing w:val="-2"/>
        </w:rPr>
        <w:t>finalidade: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9" w:lineRule="auto" w:before="9" w:after="0"/>
        <w:ind w:left="234" w:right="225" w:firstLine="0"/>
        <w:jc w:val="both"/>
        <w:rPr>
          <w:sz w:val="18"/>
        </w:rPr>
      </w:pPr>
      <w:r>
        <w:rPr>
          <w:sz w:val="18"/>
        </w:rPr>
        <w:t>– Prevenir e obstar ações adversas de qualquer natureza contra pessoal, áreas, equipamentos e documentos que se encontrem no interior do MPAL;</w:t>
      </w:r>
    </w:p>
    <w:p>
      <w:pPr>
        <w:pStyle w:val="ListParagraph"/>
        <w:spacing w:after="0" w:line="249" w:lineRule="auto"/>
        <w:jc w:val="both"/>
        <w:rPr>
          <w:sz w:val="18"/>
        </w:rPr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spacing w:before="94"/>
        <w:ind w:left="0"/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– Controlar o tráfego de pessoas e veículos no interior do </w:t>
      </w:r>
      <w:r>
        <w:rPr>
          <w:spacing w:val="-2"/>
          <w:sz w:val="18"/>
        </w:rPr>
        <w:t>órgão;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9" w:after="0"/>
        <w:ind w:left="434" w:right="0" w:hanging="200"/>
        <w:jc w:val="left"/>
        <w:rPr>
          <w:sz w:val="18"/>
        </w:rPr>
      </w:pPr>
      <w:r>
        <w:rPr>
          <w:sz w:val="18"/>
        </w:rPr>
        <w:t>– Instrumentalizar a proteção da vida e da incolumidade física das pessoas que transitam pelas dependências do órgão; </w:t>
      </w:r>
      <w:r>
        <w:rPr>
          <w:spacing w:val="-10"/>
          <w:sz w:val="18"/>
        </w:rPr>
        <w:t>e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0" w:lineRule="auto" w:before="9" w:after="0"/>
        <w:ind w:left="454" w:right="0" w:hanging="220"/>
        <w:jc w:val="left"/>
        <w:rPr>
          <w:sz w:val="18"/>
        </w:rPr>
      </w:pPr>
      <w:r>
        <w:rPr>
          <w:sz w:val="18"/>
        </w:rPr>
        <w:t>– Identificar possíveis violações a dispositivos </w:t>
      </w:r>
      <w:r>
        <w:rPr>
          <w:spacing w:val="-2"/>
          <w:sz w:val="18"/>
        </w:rPr>
        <w:t>legais.</w:t>
      </w:r>
    </w:p>
    <w:p>
      <w:pPr>
        <w:pStyle w:val="BodyText"/>
        <w:spacing w:line="249" w:lineRule="auto"/>
        <w:ind w:right="32"/>
      </w:pPr>
      <w:r>
        <w:rPr/>
        <w:t>Parágrafo Único: Em observância ao art. 6º, incisos I e II, da Lei Geral de Proteção de Dados (LGPD) o Ministério Público do</w:t>
      </w:r>
      <w:r>
        <w:rPr>
          <w:spacing w:val="80"/>
        </w:rPr>
        <w:t> </w:t>
      </w:r>
      <w:r>
        <w:rPr/>
        <w:t>Estado de Alagoas não utilizará os dados para finalidade diversa da registrada no caput.</w:t>
      </w:r>
    </w:p>
    <w:p>
      <w:pPr>
        <w:pStyle w:val="BodyText"/>
        <w:spacing w:line="249" w:lineRule="auto" w:before="2"/>
      </w:pPr>
      <w:r>
        <w:rPr/>
        <w:t>Art.</w:t>
      </w:r>
      <w:r>
        <w:rPr>
          <w:spacing w:val="20"/>
        </w:rPr>
        <w:t> </w:t>
      </w:r>
      <w:r>
        <w:rPr/>
        <w:t>4º</w:t>
      </w:r>
      <w:r>
        <w:rPr>
          <w:spacing w:val="20"/>
        </w:rPr>
        <w:t> </w:t>
      </w:r>
      <w:r>
        <w:rPr/>
        <w:t>–</w:t>
      </w:r>
      <w:r>
        <w:rPr>
          <w:spacing w:val="20"/>
        </w:rPr>
        <w:t> </w:t>
      </w:r>
      <w:r>
        <w:rPr/>
        <w:t>Compete</w:t>
      </w:r>
      <w:r>
        <w:rPr>
          <w:spacing w:val="20"/>
        </w:rPr>
        <w:t> </w:t>
      </w:r>
      <w:r>
        <w:rPr/>
        <w:t>ao</w:t>
      </w:r>
      <w:r>
        <w:rPr>
          <w:spacing w:val="20"/>
        </w:rPr>
        <w:t> </w:t>
      </w:r>
      <w:r>
        <w:rPr/>
        <w:t>Núcleo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Gestão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Informação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Segurança</w:t>
      </w:r>
      <w:r>
        <w:rPr>
          <w:spacing w:val="20"/>
        </w:rPr>
        <w:t> </w:t>
      </w:r>
      <w:r>
        <w:rPr/>
        <w:t>Institucional</w:t>
      </w:r>
      <w:r>
        <w:rPr>
          <w:spacing w:val="20"/>
        </w:rPr>
        <w:t> </w:t>
      </w:r>
      <w:r>
        <w:rPr/>
        <w:t>–</w:t>
      </w:r>
      <w:r>
        <w:rPr>
          <w:spacing w:val="20"/>
        </w:rPr>
        <w:t> </w:t>
      </w:r>
      <w:r>
        <w:rPr/>
        <w:t>NGI/SI,</w:t>
      </w:r>
      <w:r>
        <w:rPr>
          <w:spacing w:val="20"/>
        </w:rPr>
        <w:t> </w:t>
      </w:r>
      <w:r>
        <w:rPr/>
        <w:t>controlar</w:t>
      </w:r>
      <w:r>
        <w:rPr>
          <w:spacing w:val="20"/>
        </w:rPr>
        <w:t> </w:t>
      </w:r>
      <w:r>
        <w:rPr/>
        <w:t>os</w:t>
      </w:r>
      <w:r>
        <w:rPr>
          <w:spacing w:val="20"/>
        </w:rPr>
        <w:t> </w:t>
      </w:r>
      <w:r>
        <w:rPr/>
        <w:t>níveis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acesso</w:t>
      </w:r>
      <w:r>
        <w:rPr>
          <w:spacing w:val="20"/>
        </w:rPr>
        <w:t> </w:t>
      </w:r>
      <w:r>
        <w:rPr/>
        <w:t>ao </w:t>
      </w:r>
      <w:r>
        <w:rPr>
          <w:spacing w:val="-2"/>
        </w:rPr>
        <w:t>CFTV.</w:t>
      </w:r>
    </w:p>
    <w:p>
      <w:pPr>
        <w:pStyle w:val="BodyText"/>
        <w:spacing w:before="1"/>
      </w:pPr>
      <w:r>
        <w:rPr/>
        <w:t>Art. 5º – Ficará a cargo da Assessoria Militar do Ministério Público do Estado de </w:t>
      </w:r>
      <w:r>
        <w:rPr>
          <w:spacing w:val="-2"/>
        </w:rPr>
        <w:t>Alagoas:</w:t>
      </w:r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49" w:lineRule="auto" w:before="9" w:after="0"/>
        <w:ind w:left="234" w:right="224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69"/>
          <w:sz w:val="18"/>
        </w:rPr>
        <w:t> </w:t>
      </w:r>
      <w:r>
        <w:rPr>
          <w:sz w:val="18"/>
        </w:rPr>
        <w:t>Realizar</w:t>
      </w:r>
      <w:r>
        <w:rPr>
          <w:spacing w:val="69"/>
          <w:sz w:val="18"/>
        </w:rPr>
        <w:t> </w:t>
      </w:r>
      <w:r>
        <w:rPr>
          <w:sz w:val="18"/>
        </w:rPr>
        <w:t>a</w:t>
      </w:r>
      <w:r>
        <w:rPr>
          <w:spacing w:val="69"/>
          <w:sz w:val="18"/>
        </w:rPr>
        <w:t> </w:t>
      </w:r>
      <w:r>
        <w:rPr>
          <w:sz w:val="18"/>
        </w:rPr>
        <w:t>instalação,</w:t>
      </w:r>
      <w:r>
        <w:rPr>
          <w:spacing w:val="69"/>
          <w:sz w:val="18"/>
        </w:rPr>
        <w:t> </w:t>
      </w:r>
      <w:r>
        <w:rPr>
          <w:sz w:val="18"/>
        </w:rPr>
        <w:t>manutenção</w:t>
      </w:r>
      <w:r>
        <w:rPr>
          <w:spacing w:val="69"/>
          <w:sz w:val="18"/>
        </w:rPr>
        <w:t> </w:t>
      </w:r>
      <w:r>
        <w:rPr>
          <w:sz w:val="18"/>
        </w:rPr>
        <w:t>e</w:t>
      </w:r>
      <w:r>
        <w:rPr>
          <w:spacing w:val="69"/>
          <w:sz w:val="18"/>
        </w:rPr>
        <w:t> </w:t>
      </w:r>
      <w:r>
        <w:rPr>
          <w:sz w:val="18"/>
        </w:rPr>
        <w:t>substituição</w:t>
      </w:r>
      <w:r>
        <w:rPr>
          <w:spacing w:val="69"/>
          <w:sz w:val="18"/>
        </w:rPr>
        <w:t> </w:t>
      </w:r>
      <w:r>
        <w:rPr>
          <w:sz w:val="18"/>
        </w:rPr>
        <w:t>dos</w:t>
      </w:r>
      <w:r>
        <w:rPr>
          <w:spacing w:val="69"/>
          <w:sz w:val="18"/>
        </w:rPr>
        <w:t> </w:t>
      </w:r>
      <w:r>
        <w:rPr>
          <w:sz w:val="18"/>
        </w:rPr>
        <w:t>equipamentos,</w:t>
      </w:r>
      <w:r>
        <w:rPr>
          <w:spacing w:val="69"/>
          <w:sz w:val="18"/>
        </w:rPr>
        <w:t> </w:t>
      </w:r>
      <w:r>
        <w:rPr>
          <w:sz w:val="18"/>
        </w:rPr>
        <w:t>softwares</w:t>
      </w:r>
      <w:r>
        <w:rPr>
          <w:spacing w:val="69"/>
          <w:sz w:val="18"/>
        </w:rPr>
        <w:t> </w:t>
      </w:r>
      <w:r>
        <w:rPr>
          <w:sz w:val="18"/>
        </w:rPr>
        <w:t>e</w:t>
      </w:r>
      <w:r>
        <w:rPr>
          <w:spacing w:val="69"/>
          <w:sz w:val="18"/>
        </w:rPr>
        <w:t> </w:t>
      </w:r>
      <w:r>
        <w:rPr>
          <w:sz w:val="18"/>
        </w:rPr>
        <w:t>quaisquer</w:t>
      </w:r>
      <w:r>
        <w:rPr>
          <w:spacing w:val="69"/>
          <w:sz w:val="18"/>
        </w:rPr>
        <w:t> </w:t>
      </w:r>
      <w:r>
        <w:rPr>
          <w:sz w:val="18"/>
        </w:rPr>
        <w:t>materiais</w:t>
      </w:r>
      <w:r>
        <w:rPr>
          <w:spacing w:val="69"/>
          <w:sz w:val="18"/>
        </w:rPr>
        <w:t> </w:t>
      </w:r>
      <w:r>
        <w:rPr>
          <w:sz w:val="18"/>
        </w:rPr>
        <w:t>necessários funcionamento do CFTV e das Centrais de Alarme de Intrusão no MPAL;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2" w:after="0"/>
        <w:ind w:left="384" w:right="0" w:hanging="150"/>
        <w:jc w:val="left"/>
        <w:rPr>
          <w:sz w:val="18"/>
        </w:rPr>
      </w:pPr>
      <w:r>
        <w:rPr>
          <w:sz w:val="18"/>
        </w:rPr>
        <w:t>– Monitorar, em tempo real, as imagens e movimentos capturados pelo </w:t>
      </w:r>
      <w:r>
        <w:rPr>
          <w:spacing w:val="-2"/>
          <w:sz w:val="18"/>
        </w:rPr>
        <w:t>CFTV;</w:t>
      </w: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9" w:after="0"/>
        <w:ind w:left="434" w:right="0" w:hanging="200"/>
        <w:jc w:val="left"/>
        <w:rPr>
          <w:sz w:val="18"/>
        </w:rPr>
      </w:pPr>
      <w:r>
        <w:rPr>
          <w:sz w:val="18"/>
        </w:rPr>
        <w:t>– Controlar os acessos às Centrais de Alarme de </w:t>
      </w:r>
      <w:r>
        <w:rPr>
          <w:spacing w:val="-2"/>
          <w:sz w:val="18"/>
        </w:rPr>
        <w:t>Intrusão;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9" w:after="0"/>
        <w:ind w:left="454" w:right="0" w:hanging="220"/>
        <w:jc w:val="left"/>
        <w:rPr>
          <w:sz w:val="18"/>
        </w:rPr>
      </w:pPr>
      <w:r>
        <w:rPr>
          <w:sz w:val="18"/>
        </w:rPr>
        <w:t>– Realizar o tratamento de dados a partir das imagens de câmeras de vigilância do CFTV; </w:t>
      </w:r>
      <w:r>
        <w:rPr>
          <w:spacing w:val="-5"/>
          <w:sz w:val="18"/>
        </w:rPr>
        <w:t>e,</w:t>
      </w:r>
    </w:p>
    <w:p>
      <w:pPr>
        <w:pStyle w:val="ListParagraph"/>
        <w:numPr>
          <w:ilvl w:val="0"/>
          <w:numId w:val="2"/>
        </w:numPr>
        <w:tabs>
          <w:tab w:pos="404" w:val="left" w:leader="none"/>
        </w:tabs>
        <w:spacing w:line="240" w:lineRule="auto" w:before="9" w:after="0"/>
        <w:ind w:left="404" w:right="0" w:hanging="170"/>
        <w:jc w:val="left"/>
        <w:rPr>
          <w:sz w:val="18"/>
        </w:rPr>
      </w:pPr>
      <w:r>
        <w:rPr>
          <w:sz w:val="18"/>
        </w:rPr>
        <w:t>– Controlar os níveis de acesso às Centrais de Alarme de </w:t>
      </w:r>
      <w:r>
        <w:rPr>
          <w:spacing w:val="-2"/>
          <w:sz w:val="18"/>
        </w:rPr>
        <w:t>Intrusão;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9" w:lineRule="auto" w:before="9" w:after="0"/>
        <w:ind w:left="234" w:right="3418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Informar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Diretoria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TI</w:t>
      </w:r>
      <w:r>
        <w:rPr>
          <w:spacing w:val="-3"/>
          <w:sz w:val="18"/>
        </w:rPr>
        <w:t> </w:t>
      </w:r>
      <w:r>
        <w:rPr>
          <w:sz w:val="18"/>
        </w:rPr>
        <w:t>qualquer</w:t>
      </w:r>
      <w:r>
        <w:rPr>
          <w:spacing w:val="-3"/>
          <w:sz w:val="18"/>
        </w:rPr>
        <w:t> </w:t>
      </w:r>
      <w:r>
        <w:rPr>
          <w:sz w:val="18"/>
        </w:rPr>
        <w:t>indisponibilidade,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fim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restabelecer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serviço. Art. 6º – Ficará a cargo da Diretoria de Tecnologia da Informação:</w:t>
      </w: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1" w:after="0"/>
        <w:ind w:left="334" w:right="0" w:hanging="100"/>
        <w:jc w:val="left"/>
        <w:rPr>
          <w:sz w:val="18"/>
        </w:rPr>
      </w:pPr>
      <w:r>
        <w:rPr>
          <w:sz w:val="18"/>
        </w:rPr>
        <w:t>– A orientação técnica da solução de </w:t>
      </w:r>
      <w:r>
        <w:rPr>
          <w:spacing w:val="-2"/>
          <w:sz w:val="18"/>
        </w:rPr>
        <w:t>CFTV;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9" w:after="0"/>
        <w:ind w:left="384" w:right="0" w:hanging="150"/>
        <w:jc w:val="left"/>
        <w:rPr>
          <w:sz w:val="18"/>
        </w:rPr>
      </w:pPr>
      <w:r>
        <w:rPr>
          <w:sz w:val="18"/>
        </w:rPr>
        <w:t>– A custódia dos dados </w:t>
      </w:r>
      <w:r>
        <w:rPr>
          <w:spacing w:val="-2"/>
          <w:sz w:val="18"/>
        </w:rPr>
        <w:t>gravados;</w:t>
      </w: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9" w:after="0"/>
        <w:ind w:left="434" w:right="0" w:hanging="200"/>
        <w:jc w:val="left"/>
        <w:rPr>
          <w:sz w:val="18"/>
        </w:rPr>
      </w:pPr>
      <w:r>
        <w:rPr>
          <w:sz w:val="18"/>
        </w:rPr>
        <w:t>– Manter a disponibilidade da solução de CFTV e meio de transmissão do </w:t>
      </w:r>
      <w:r>
        <w:rPr>
          <w:spacing w:val="-2"/>
          <w:sz w:val="18"/>
        </w:rPr>
        <w:t>dado;</w:t>
      </w: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249" w:lineRule="auto" w:before="9" w:after="0"/>
        <w:ind w:left="234" w:right="3918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Auxiliar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Assessoria</w:t>
      </w:r>
      <w:r>
        <w:rPr>
          <w:spacing w:val="-4"/>
          <w:sz w:val="18"/>
        </w:rPr>
        <w:t> </w:t>
      </w:r>
      <w:r>
        <w:rPr>
          <w:sz w:val="18"/>
        </w:rPr>
        <w:t>Militar</w:t>
      </w:r>
      <w:r>
        <w:rPr>
          <w:spacing w:val="-4"/>
          <w:sz w:val="18"/>
        </w:rPr>
        <w:t> </w:t>
      </w:r>
      <w:r>
        <w:rPr>
          <w:sz w:val="18"/>
        </w:rPr>
        <w:t>nos</w:t>
      </w:r>
      <w:r>
        <w:rPr>
          <w:spacing w:val="-4"/>
          <w:sz w:val="18"/>
        </w:rPr>
        <w:t> </w:t>
      </w:r>
      <w:r>
        <w:rPr>
          <w:sz w:val="18"/>
        </w:rPr>
        <w:t>estudos</w:t>
      </w:r>
      <w:r>
        <w:rPr>
          <w:spacing w:val="-4"/>
          <w:sz w:val="18"/>
        </w:rPr>
        <w:t> </w:t>
      </w:r>
      <w:r>
        <w:rPr>
          <w:sz w:val="18"/>
        </w:rPr>
        <w:t>para</w:t>
      </w:r>
      <w:r>
        <w:rPr>
          <w:spacing w:val="-4"/>
          <w:sz w:val="18"/>
        </w:rPr>
        <w:t> </w:t>
      </w:r>
      <w:r>
        <w:rPr>
          <w:sz w:val="18"/>
        </w:rPr>
        <w:t>ampliação</w:t>
      </w:r>
      <w:r>
        <w:rPr>
          <w:spacing w:val="-4"/>
          <w:sz w:val="18"/>
        </w:rPr>
        <w:t> </w:t>
      </w:r>
      <w:r>
        <w:rPr>
          <w:sz w:val="18"/>
        </w:rPr>
        <w:t>da</w:t>
      </w:r>
      <w:r>
        <w:rPr>
          <w:spacing w:val="-4"/>
          <w:sz w:val="18"/>
        </w:rPr>
        <w:t> </w:t>
      </w:r>
      <w:r>
        <w:rPr>
          <w:sz w:val="18"/>
        </w:rPr>
        <w:t>solução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CFTV. Art. 7º – Ficará a cargo da Seção de Engenharia:</w:t>
      </w:r>
    </w:p>
    <w:p>
      <w:pPr>
        <w:pStyle w:val="ListParagraph"/>
        <w:numPr>
          <w:ilvl w:val="0"/>
          <w:numId w:val="4"/>
        </w:numPr>
        <w:tabs>
          <w:tab w:pos="334" w:val="left" w:leader="none"/>
        </w:tabs>
        <w:spacing w:line="240" w:lineRule="auto" w:before="2" w:after="0"/>
        <w:ind w:left="334" w:right="0" w:hanging="100"/>
        <w:jc w:val="left"/>
        <w:rPr>
          <w:sz w:val="18"/>
        </w:rPr>
      </w:pPr>
      <w:r>
        <w:rPr>
          <w:sz w:val="18"/>
        </w:rPr>
        <w:t>– A disponibilização de infraestrutura para implantação e instalação de novos pontos de </w:t>
      </w:r>
      <w:r>
        <w:rPr>
          <w:spacing w:val="-2"/>
          <w:sz w:val="18"/>
        </w:rPr>
        <w:t>câmeras;</w:t>
      </w:r>
    </w:p>
    <w:p>
      <w:pPr>
        <w:pStyle w:val="ListParagraph"/>
        <w:numPr>
          <w:ilvl w:val="0"/>
          <w:numId w:val="4"/>
        </w:numPr>
        <w:tabs>
          <w:tab w:pos="384" w:val="left" w:leader="none"/>
        </w:tabs>
        <w:spacing w:line="240" w:lineRule="auto" w:before="9" w:after="0"/>
        <w:ind w:left="384" w:right="0" w:hanging="150"/>
        <w:jc w:val="left"/>
        <w:rPr>
          <w:sz w:val="18"/>
        </w:rPr>
      </w:pPr>
      <w:r>
        <w:rPr>
          <w:sz w:val="18"/>
        </w:rPr>
        <w:t>– Manter e reparar os pontos de câmeras </w:t>
      </w:r>
      <w:r>
        <w:rPr>
          <w:spacing w:val="-2"/>
          <w:sz w:val="18"/>
        </w:rPr>
        <w:t>existentes.</w:t>
      </w:r>
    </w:p>
    <w:p>
      <w:pPr>
        <w:pStyle w:val="BodyText"/>
        <w:spacing w:before="18"/>
        <w:ind w:left="0"/>
      </w:pPr>
    </w:p>
    <w:p>
      <w:pPr>
        <w:pStyle w:val="Heading2"/>
      </w:pPr>
      <w:r>
        <w:rPr/>
        <w:t>CAPÍTULO </w:t>
      </w:r>
      <w:r>
        <w:rPr>
          <w:spacing w:val="-5"/>
        </w:rPr>
        <w:t>II</w:t>
      </w:r>
    </w:p>
    <w:p>
      <w:pPr>
        <w:pStyle w:val="BodyText"/>
        <w:jc w:val="both"/>
      </w:pPr>
      <w:r>
        <w:rPr/>
        <w:t>Do Circuito Fechado de </w:t>
      </w:r>
      <w:r>
        <w:rPr>
          <w:spacing w:val="-2"/>
        </w:rPr>
        <w:t>Televisão</w:t>
      </w:r>
    </w:p>
    <w:p>
      <w:pPr>
        <w:pStyle w:val="BodyText"/>
        <w:spacing w:line="249" w:lineRule="auto"/>
        <w:ind w:right="229"/>
        <w:jc w:val="both"/>
      </w:pPr>
      <w:r>
        <w:rPr/>
        <w:t>Art. 8º – O CFTV funcionará de forma ininterrupta, 24 horas por dia, 7 dias por semana, sendo operado permanentemente por agentes capacitados para este fim, inclusive com conhecimento na área de Proteção de Dados Pessoais.</w:t>
      </w:r>
    </w:p>
    <w:p>
      <w:pPr>
        <w:pStyle w:val="BodyText"/>
        <w:spacing w:line="249" w:lineRule="auto" w:before="1"/>
        <w:ind w:right="228"/>
        <w:jc w:val="both"/>
      </w:pPr>
      <w:r>
        <w:rPr/>
        <w:t>Art. 9º – A instalação das câmeras de vídeo somente poderá ser efetuada em locais de livre acesso e que não interfiram na privacidade dos membros, servidores e colaboradores.</w:t>
      </w:r>
    </w:p>
    <w:p>
      <w:pPr>
        <w:pStyle w:val="BodyText"/>
        <w:spacing w:line="249" w:lineRule="auto" w:before="2"/>
        <w:ind w:right="232"/>
        <w:jc w:val="both"/>
      </w:pPr>
      <w:r>
        <w:rPr/>
        <w:t>Art. 10º – As câmeras serão instaladas de maneira que a pessoa, ao ser identificada ou vigiada, tenha a sua integridade física e moral respeitada.</w:t>
      </w:r>
    </w:p>
    <w:p>
      <w:pPr>
        <w:pStyle w:val="BodyText"/>
        <w:spacing w:line="249" w:lineRule="auto" w:before="1"/>
        <w:ind w:right="225"/>
        <w:jc w:val="both"/>
      </w:pPr>
      <w:r>
        <w:rPr/>
        <w:t>Art. 11º – Nos imóveis controlados por câmeras de vídeo, deverão ser afixadas placas com os seguintes dizeres: “Em cumprimento à Lei nº 13.709/2018 (Lei Geral de Proteção de Dados – LGPD), informa-se que este prédio possui sistema de videomonitoramento contínuo para fins específicos de segurança”.</w:t>
      </w:r>
    </w:p>
    <w:p>
      <w:pPr>
        <w:pStyle w:val="BodyText"/>
        <w:spacing w:line="249" w:lineRule="auto" w:before="3"/>
        <w:ind w:right="230"/>
        <w:jc w:val="both"/>
      </w:pPr>
      <w:r>
        <w:rPr/>
        <w:t>Parágrafo único – As placas de que trata o "caput" deste artigo deverão ser legíveis e colocadas em locais de fácil visualização dos pontos de entrada e saída dos imóveis controlados.</w:t>
      </w:r>
    </w:p>
    <w:p>
      <w:pPr>
        <w:pStyle w:val="BodyText"/>
        <w:spacing w:before="10"/>
        <w:ind w:left="0"/>
      </w:pPr>
    </w:p>
    <w:p>
      <w:pPr>
        <w:pStyle w:val="Heading2"/>
      </w:pPr>
      <w:r>
        <w:rPr/>
        <w:t>CAPÍTULO </w:t>
      </w:r>
      <w:r>
        <w:rPr>
          <w:spacing w:val="-5"/>
        </w:rPr>
        <w:t>III</w:t>
      </w:r>
    </w:p>
    <w:p>
      <w:pPr>
        <w:pStyle w:val="BodyText"/>
        <w:jc w:val="both"/>
      </w:pPr>
      <w:r>
        <w:rPr/>
        <w:t>Do Tratamento de Dados </w:t>
      </w:r>
      <w:r>
        <w:rPr>
          <w:spacing w:val="-2"/>
        </w:rPr>
        <w:t>Pessoais</w:t>
      </w:r>
    </w:p>
    <w:p>
      <w:pPr>
        <w:pStyle w:val="BodyText"/>
        <w:spacing w:line="249" w:lineRule="auto"/>
        <w:ind w:right="205"/>
        <w:jc w:val="both"/>
      </w:pPr>
      <w:r>
        <w:rPr/>
        <w:t>Art. 12º – O tratamento dos dados obtidos pelo Sistema de Monitoramento e Segurança Eletrônica passa pela coleta, armazenamento, extração, compartilhamento, transferência e eliminação.</w:t>
      </w:r>
    </w:p>
    <w:p>
      <w:pPr>
        <w:pStyle w:val="BodyText"/>
        <w:spacing w:line="249" w:lineRule="auto" w:before="2"/>
        <w:ind w:right="228"/>
        <w:jc w:val="both"/>
      </w:pPr>
      <w:r>
        <w:rPr/>
        <w:t>Art. 13º – As imagens coletadas serão armazenados em servidor próprio, pelo prazo máximo de 30 (trinta) dias, contados da captação, após o qual as imagens serão automaticamente eliminadas, sobrepondo-se as novas imagens capturadas.</w:t>
      </w:r>
    </w:p>
    <w:p>
      <w:pPr>
        <w:pStyle w:val="BodyText"/>
        <w:spacing w:line="249" w:lineRule="auto" w:before="1"/>
        <w:ind w:right="226"/>
        <w:jc w:val="both"/>
      </w:pPr>
      <w:r>
        <w:rPr/>
        <w:t>Art. 14º – De acordo com o art. 6º da Portaria nº 1.496/2023 – MPAL/PGJ, os dados coletados pelo CFTV, poderão ser compartilhados com o titular e/ou terceiro, por força de lei, por determinação judicial ou por autorização do Procurador-Geral de Justiça, após ouvir o Encarregado pelo Tratamento de Dados Pessoais, sempre observando o prazo do artigo anterior.</w:t>
      </w:r>
    </w:p>
    <w:p>
      <w:pPr>
        <w:pStyle w:val="BodyText"/>
        <w:spacing w:line="249" w:lineRule="auto" w:before="2"/>
        <w:ind w:right="223"/>
        <w:jc w:val="both"/>
      </w:pPr>
      <w:r>
        <w:rPr/>
        <w:t>Parágrafo único – O compartilhamento dos dados coletados pelo CFTV será condicionado à assinatura de termo de compromisso de obediência à Lei Geral de Proteção de Dados (Lei nº 13.719/2018) pelo requerente.</w:t>
      </w:r>
    </w:p>
    <w:p>
      <w:pPr>
        <w:pStyle w:val="BodyText"/>
        <w:spacing w:line="249" w:lineRule="auto" w:before="2"/>
        <w:ind w:right="230"/>
        <w:jc w:val="both"/>
      </w:pPr>
      <w:r>
        <w:rPr/>
        <w:t>Art.</w:t>
      </w:r>
      <w:r>
        <w:rPr>
          <w:spacing w:val="-1"/>
        </w:rPr>
        <w:t> </w:t>
      </w:r>
      <w:r>
        <w:rPr/>
        <w:t>15º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Quando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autorizado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compartilhamento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dados</w:t>
      </w:r>
      <w:r>
        <w:rPr>
          <w:spacing w:val="-1"/>
        </w:rPr>
        <w:t> </w:t>
      </w:r>
      <w:r>
        <w:rPr/>
        <w:t>pessoais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trata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Portaria,</w:t>
      </w:r>
      <w:r>
        <w:rPr>
          <w:spacing w:val="-1"/>
        </w:rPr>
        <w:t> </w:t>
      </w:r>
      <w:r>
        <w:rPr/>
        <w:t>atribuir-se-á</w:t>
      </w:r>
      <w:r>
        <w:rPr>
          <w:spacing w:val="-1"/>
        </w:rPr>
        <w:t> </w:t>
      </w:r>
      <w:r>
        <w:rPr/>
        <w:t>código</w:t>
      </w:r>
      <w:r>
        <w:rPr>
          <w:spacing w:val="-1"/>
        </w:rPr>
        <w:t> </w:t>
      </w:r>
      <w:r>
        <w:rPr/>
        <w:t>hash</w:t>
      </w:r>
      <w:r>
        <w:rPr>
          <w:spacing w:val="-1"/>
        </w:rPr>
        <w:t> </w:t>
      </w:r>
      <w:r>
        <w:rPr/>
        <w:t>ao arquivo disponibilizado.</w:t>
      </w:r>
    </w:p>
    <w:p>
      <w:pPr>
        <w:pStyle w:val="BodyText"/>
        <w:spacing w:before="1"/>
        <w:jc w:val="both"/>
      </w:pPr>
      <w:r>
        <w:rPr/>
        <w:t>Art. 16º – Somente agentes de tratamento previamente autorizados terão acesso aos dados </w:t>
      </w:r>
      <w:r>
        <w:rPr>
          <w:spacing w:val="-2"/>
        </w:rPr>
        <w:t>armazenados.</w:t>
      </w:r>
    </w:p>
    <w:p>
      <w:pPr>
        <w:pStyle w:val="BodyText"/>
        <w:spacing w:line="249" w:lineRule="auto"/>
        <w:ind w:right="230"/>
        <w:jc w:val="both"/>
      </w:pPr>
      <w:r>
        <w:rPr/>
        <w:t>Parágrafo único – Autorizado o acesso ao CFTV a agentes de tratamento caberá ao mesmo cumprir estritamente o preceituado na Lei Geral de Proteção de Dados, assim como nesta Portaria.</w:t>
      </w:r>
    </w:p>
    <w:p>
      <w:pPr>
        <w:pStyle w:val="BodyText"/>
        <w:spacing w:line="249" w:lineRule="auto" w:before="2"/>
        <w:ind w:right="210"/>
        <w:jc w:val="both"/>
      </w:pPr>
      <w:r>
        <w:rPr/>
        <w:t>Art. 17º – Incumbe, a todos os usuários dos sistemas de acesso à CFTV, garantir a segurança dos dados coletados pelo CFTV, nos termos do art. 47 da Lei 13.709/2018 e art. 33 da Ato PGJ nº 21/2024.</w:t>
      </w:r>
    </w:p>
    <w:p>
      <w:pPr>
        <w:pStyle w:val="BodyText"/>
        <w:spacing w:line="249" w:lineRule="auto" w:before="1"/>
        <w:ind w:right="227"/>
        <w:jc w:val="both"/>
      </w:pPr>
      <w:r>
        <w:rPr/>
        <w:t>Art. 18º – Qualquer pessoa que tiver ciência de alguma violação de dados pessoais, oriundo do CFTV, no âmbito da Instituição deverá comunicar ao Encarregado de Dados, no prazo máximo de 48 (quarenta e oito) horas, para que sejam adotados os procedimentos</w:t>
      </w:r>
      <w:r>
        <w:rPr>
          <w:spacing w:val="20"/>
        </w:rPr>
        <w:t> </w:t>
      </w:r>
      <w:r>
        <w:rPr/>
        <w:t>previstos</w:t>
      </w:r>
      <w:r>
        <w:rPr>
          <w:spacing w:val="20"/>
        </w:rPr>
        <w:t> </w:t>
      </w:r>
      <w:r>
        <w:rPr/>
        <w:t>no</w:t>
      </w:r>
      <w:r>
        <w:rPr>
          <w:spacing w:val="20"/>
        </w:rPr>
        <w:t> </w:t>
      </w:r>
      <w:r>
        <w:rPr/>
        <w:t>plano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resposta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violação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dados</w:t>
      </w:r>
      <w:r>
        <w:rPr>
          <w:spacing w:val="20"/>
        </w:rPr>
        <w:t> </w:t>
      </w:r>
      <w:r>
        <w:rPr/>
        <w:t>pessoais</w:t>
      </w:r>
      <w:r>
        <w:rPr>
          <w:spacing w:val="20"/>
        </w:rPr>
        <w:t> </w:t>
      </w:r>
      <w:r>
        <w:rPr/>
        <w:t>do</w:t>
      </w:r>
      <w:r>
        <w:rPr>
          <w:spacing w:val="20"/>
        </w:rPr>
        <w:t> </w:t>
      </w:r>
      <w:r>
        <w:rPr/>
        <w:t>MPAL,</w:t>
      </w:r>
      <w:r>
        <w:rPr>
          <w:spacing w:val="20"/>
        </w:rPr>
        <w:t> </w:t>
      </w:r>
      <w:r>
        <w:rPr/>
        <w:t>sem</w:t>
      </w:r>
      <w:r>
        <w:rPr>
          <w:spacing w:val="20"/>
        </w:rPr>
        <w:t> </w:t>
      </w:r>
      <w:r>
        <w:rPr/>
        <w:t>prejuízo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outras</w:t>
      </w:r>
      <w:r>
        <w:rPr>
          <w:spacing w:val="20"/>
        </w:rPr>
        <w:t> </w:t>
      </w:r>
      <w:r>
        <w:rPr/>
        <w:t>medidas</w:t>
      </w:r>
      <w:r>
        <w:rPr>
          <w:spacing w:val="20"/>
        </w:rPr>
        <w:t> </w:t>
      </w:r>
      <w:r>
        <w:rPr/>
        <w:t>que</w:t>
      </w:r>
    </w:p>
    <w:p>
      <w:pPr>
        <w:pStyle w:val="BodyText"/>
        <w:spacing w:after="0" w:line="249" w:lineRule="auto"/>
        <w:jc w:val="both"/>
        <w:sectPr>
          <w:headerReference w:type="default" r:id="rId7"/>
          <w:footerReference w:type="default" r:id="rId8"/>
          <w:pgSz w:w="11900" w:h="16840"/>
          <w:pgMar w:header="799" w:footer="725" w:top="2540" w:bottom="920" w:left="566" w:right="566"/>
        </w:sectPr>
      </w:pPr>
    </w:p>
    <w:p>
      <w:pPr>
        <w:pStyle w:val="BodyText"/>
        <w:spacing w:before="94"/>
        <w:ind w:left="0"/>
      </w:pPr>
    </w:p>
    <w:p>
      <w:pPr>
        <w:pStyle w:val="BodyText"/>
        <w:spacing w:line="249" w:lineRule="auto" w:before="0"/>
        <w:ind w:right="6131"/>
      </w:pPr>
      <w:r>
        <w:rPr/>
        <w:t>eventualmente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situação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concreto</w:t>
      </w:r>
      <w:r>
        <w:rPr>
          <w:spacing w:val="-8"/>
        </w:rPr>
        <w:t> </w:t>
      </w:r>
      <w:r>
        <w:rPr/>
        <w:t>exija. CAPÍTULO IV</w:t>
      </w:r>
    </w:p>
    <w:p>
      <w:pPr>
        <w:pStyle w:val="BodyText"/>
        <w:spacing w:before="2"/>
      </w:pPr>
      <w:r>
        <w:rPr/>
        <w:t>Das Disposições </w:t>
      </w:r>
      <w:r>
        <w:rPr>
          <w:spacing w:val="-2"/>
        </w:rPr>
        <w:t>Finais</w:t>
      </w:r>
    </w:p>
    <w:p>
      <w:pPr>
        <w:pStyle w:val="BodyText"/>
        <w:spacing w:line="249" w:lineRule="auto"/>
      </w:pPr>
      <w:r>
        <w:rPr/>
        <w:t>Art.</w:t>
      </w:r>
      <w:r>
        <w:rPr>
          <w:spacing w:val="-2"/>
        </w:rPr>
        <w:t> </w:t>
      </w:r>
      <w:r>
        <w:rPr/>
        <w:t>19º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informações</w:t>
      </w:r>
      <w:r>
        <w:rPr>
          <w:spacing w:val="-2"/>
        </w:rPr>
        <w:t> </w:t>
      </w:r>
      <w:r>
        <w:rPr/>
        <w:t>coletadas</w:t>
      </w:r>
      <w:r>
        <w:rPr>
          <w:spacing w:val="-2"/>
        </w:rPr>
        <w:t> </w:t>
      </w:r>
      <w:r>
        <w:rPr/>
        <w:t>através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Monitoramento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Segurança</w:t>
      </w:r>
      <w:r>
        <w:rPr>
          <w:spacing w:val="-2"/>
        </w:rPr>
        <w:t> </w:t>
      </w:r>
      <w:r>
        <w:rPr/>
        <w:t>Eletrônica</w:t>
      </w:r>
      <w:r>
        <w:rPr>
          <w:spacing w:val="-2"/>
        </w:rPr>
        <w:t> </w:t>
      </w:r>
      <w:r>
        <w:rPr/>
        <w:t>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caráter</w:t>
      </w:r>
      <w:r>
        <w:rPr>
          <w:spacing w:val="-2"/>
        </w:rPr>
        <w:t> </w:t>
      </w:r>
      <w:r>
        <w:rPr/>
        <w:t>sigiloso,</w:t>
      </w:r>
      <w:r>
        <w:rPr>
          <w:spacing w:val="-2"/>
        </w:rPr>
        <w:t> </w:t>
      </w:r>
      <w:r>
        <w:rPr/>
        <w:t>assim como os registros de acesso ao sistema.</w:t>
      </w:r>
    </w:p>
    <w:p>
      <w:pPr>
        <w:pStyle w:val="BodyText"/>
        <w:spacing w:line="249" w:lineRule="auto" w:before="1"/>
      </w:pPr>
      <w:r>
        <w:rPr/>
        <w:t>Art. 20º – Deverão, em qualquer caso, ser observadas as disposições da Lei nº 13.709/2018 (Lei Geral de Proteção de Dados), visando a salvaguardar o direito a proteção dos dados pessoais.</w:t>
      </w:r>
    </w:p>
    <w:p>
      <w:pPr>
        <w:pStyle w:val="BodyText"/>
        <w:spacing w:line="249" w:lineRule="auto" w:before="2"/>
        <w:ind w:right="4099"/>
      </w:pPr>
      <w:r>
        <w:rPr/>
        <w:t>Art.</w:t>
      </w:r>
      <w:r>
        <w:rPr>
          <w:spacing w:val="-4"/>
        </w:rPr>
        <w:t> </w:t>
      </w:r>
      <w:r>
        <w:rPr/>
        <w:t>21º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casos</w:t>
      </w:r>
      <w:r>
        <w:rPr>
          <w:spacing w:val="-4"/>
        </w:rPr>
        <w:t> </w:t>
      </w:r>
      <w:r>
        <w:rPr/>
        <w:t>omissos</w:t>
      </w:r>
      <w:r>
        <w:rPr>
          <w:spacing w:val="-4"/>
        </w:rPr>
        <w:t> </w:t>
      </w:r>
      <w:r>
        <w:rPr/>
        <w:t>serão</w:t>
      </w:r>
      <w:r>
        <w:rPr>
          <w:spacing w:val="-4"/>
        </w:rPr>
        <w:t> </w:t>
      </w:r>
      <w:r>
        <w:rPr/>
        <w:t>resolvidos</w:t>
      </w:r>
      <w:r>
        <w:rPr>
          <w:spacing w:val="-4"/>
        </w:rPr>
        <w:t> </w:t>
      </w:r>
      <w:r>
        <w:rPr/>
        <w:t>pelo</w:t>
      </w:r>
      <w:r>
        <w:rPr>
          <w:spacing w:val="-4"/>
        </w:rPr>
        <w:t> </w:t>
      </w:r>
      <w:r>
        <w:rPr/>
        <w:t>Procurador-Geral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Justiça. Art. 22º – Este Ato entra em vigor na data de sua publicação.</w:t>
      </w:r>
    </w:p>
    <w:p>
      <w:pPr>
        <w:pStyle w:val="BodyText"/>
        <w:spacing w:before="1"/>
      </w:pPr>
      <w:r>
        <w:rPr/>
        <w:t>Gabinete do Procurador-Geral de Justiça, em Maceió, 28 de janeiro de </w:t>
      </w:r>
      <w:r>
        <w:rPr>
          <w:spacing w:val="-2"/>
        </w:rPr>
        <w:t>2025.</w:t>
      </w:r>
    </w:p>
    <w:p>
      <w:pPr>
        <w:pStyle w:val="BodyText"/>
        <w:spacing w:before="0"/>
        <w:ind w:left="0"/>
      </w:pPr>
    </w:p>
    <w:p>
      <w:pPr>
        <w:pStyle w:val="BodyText"/>
        <w:spacing w:before="27"/>
        <w:ind w:left="0"/>
      </w:pPr>
    </w:p>
    <w:p>
      <w:pPr>
        <w:pStyle w:val="Heading2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spacing w:before="0"/>
        <w:ind w:left="0"/>
      </w:pPr>
    </w:p>
    <w:p>
      <w:pPr>
        <w:pStyle w:val="BodyText"/>
        <w:spacing w:before="27"/>
        <w:ind w:left="0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2"/>
        <w:ind w:left="0"/>
        <w:rPr>
          <w:rFonts w:ascii="Arial"/>
          <w:b/>
        </w:rPr>
      </w:pPr>
    </w:p>
    <w:p>
      <w:pPr>
        <w:pStyle w:val="Heading2"/>
        <w:spacing w:line="249" w:lineRule="auto"/>
      </w:pPr>
      <w:r>
        <w:rPr/>
        <w:t>O</w:t>
      </w:r>
      <w:r>
        <w:rPr>
          <w:spacing w:val="40"/>
        </w:rPr>
        <w:t> </w:t>
      </w:r>
      <w:r>
        <w:rPr/>
        <w:t>PROCURADOR-GERAL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JUSTIÇA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MINISTÉRIO</w:t>
      </w:r>
      <w:r>
        <w:rPr>
          <w:spacing w:val="40"/>
        </w:rPr>
        <w:t> </w:t>
      </w:r>
      <w:r>
        <w:rPr/>
        <w:t>PÚBLICO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ALAGOAS,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LEAN</w:t>
      </w:r>
      <w:r>
        <w:rPr>
          <w:spacing w:val="40"/>
        </w:rPr>
        <w:t> </w:t>
      </w:r>
      <w:r>
        <w:rPr/>
        <w:t>ANTÔNIO FERREIRA DE ARAÚJO, DESPACHOU, NO DIA 28 DE JANEIRO DE 2025, OS SEGUINTES PROCESSOS:</w:t>
      </w:r>
    </w:p>
    <w:p>
      <w:pPr>
        <w:pStyle w:val="BodyText"/>
        <w:spacing w:before="10"/>
        <w:ind w:left="0"/>
      </w:pPr>
    </w:p>
    <w:p>
      <w:pPr>
        <w:spacing w:before="0"/>
        <w:ind w:left="234" w:right="0" w:firstLine="0"/>
        <w:jc w:val="both"/>
        <w:rPr>
          <w:sz w:val="18"/>
        </w:rPr>
      </w:pPr>
      <w:r>
        <w:rPr>
          <w:sz w:val="18"/>
        </w:rPr>
        <w:t>GED: 20.08.1296.0000252/2024-</w:t>
      </w:r>
      <w:r>
        <w:rPr>
          <w:spacing w:val="-5"/>
          <w:sz w:val="18"/>
        </w:rPr>
        <w:t>21</w:t>
      </w:r>
    </w:p>
    <w:p>
      <w:pPr>
        <w:pStyle w:val="BodyText"/>
        <w:spacing w:line="249" w:lineRule="auto"/>
        <w:ind w:right="5719"/>
        <w:jc w:val="both"/>
      </w:pPr>
      <w:r>
        <w:rPr/>
        <w:t>Interessado:</w:t>
      </w:r>
      <w:r>
        <w:rPr>
          <w:spacing w:val="-7"/>
        </w:rPr>
        <w:t> </w:t>
      </w:r>
      <w:r>
        <w:rPr/>
        <w:t>Coordenadoria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Contratos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Convênios</w:t>
      </w:r>
      <w:r>
        <w:rPr>
          <w:spacing w:val="-7"/>
        </w:rPr>
        <w:t> </w:t>
      </w:r>
      <w:r>
        <w:rPr/>
        <w:t>PGJ. Assunto: Prorrogação de contrato.</w:t>
      </w:r>
    </w:p>
    <w:p>
      <w:pPr>
        <w:pStyle w:val="BodyText"/>
        <w:spacing w:line="249" w:lineRule="auto" w:before="2"/>
        <w:ind w:right="204"/>
        <w:jc w:val="both"/>
      </w:pPr>
      <w:r>
        <w:rPr/>
        <w:t>Despacho: Acolho o parecer da Consultoria Jurídica com a seguinte ementa: "Administrativo. Pedido de Providências. Prorrogação Contratual. Contrato PGJ n. 01/2024. Contratada HEWLETT PACKARD BRASIL LTDA. Contratação dos serviços</w:t>
      </w:r>
      <w:r>
        <w:rPr>
          <w:spacing w:val="40"/>
        </w:rPr>
        <w:t> </w:t>
      </w:r>
      <w:r>
        <w:rPr/>
        <w:t>de suporte técnico para a solução de armazenamento de dados do tipo “Storage HPE 3PAR 7400, conforme condições, quantidades e exigências estabelecidas no Termo de Referência. Contrato vigente. Existência de disponibilidade financeira e orçamentária. Manifestação do gestor do contrato. Regularidade jurídica, trabalhista e fiscal da empresa. Aplicação do art. 107</w:t>
      </w:r>
      <w:r>
        <w:rPr>
          <w:spacing w:val="40"/>
        </w:rPr>
        <w:t> </w:t>
      </w:r>
      <w:r>
        <w:rPr/>
        <w:t>da Lei 14.133/21 e, da cláusula segunda do contrato. Prorrogação 12 (doze) meses. Manutenção dos valores atuais sem reajuste. Pelo deferimento da prorrogação contratual, sugerindo ulterior remessa à coordenadoria de contratos, para as providências que o caso requer." Defiro. Vão os autos à Coordenadoria de Contratos e Convênios para providências.</w:t>
      </w:r>
    </w:p>
    <w:p>
      <w:pPr>
        <w:pStyle w:val="BodyText"/>
        <w:spacing w:line="432" w:lineRule="exact" w:before="45"/>
        <w:ind w:right="4099"/>
      </w:pPr>
      <w:r>
        <w:rPr/>
        <w:t>Gabinete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Procurador-Geral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Justiça,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Maceió,</w:t>
      </w:r>
      <w:r>
        <w:rPr>
          <w:spacing w:val="-4"/>
        </w:rPr>
        <w:t> </w:t>
      </w:r>
      <w:r>
        <w:rPr/>
        <w:t>28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Janeiro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2025. ISADORA AGUIAR FERREIRA DA SILVA</w:t>
      </w:r>
    </w:p>
    <w:p>
      <w:pPr>
        <w:pStyle w:val="BodyText"/>
        <w:spacing w:line="168" w:lineRule="exact" w:before="0"/>
        <w:jc w:val="both"/>
      </w:pPr>
      <w:r>
        <w:rPr/>
        <w:t>Assessora de Gabinete do Ministério Público de </w:t>
      </w:r>
      <w:r>
        <w:rPr>
          <w:spacing w:val="-2"/>
        </w:rPr>
        <w:t>Alagoas</w:t>
      </w:r>
    </w:p>
    <w:p>
      <w:pPr>
        <w:pStyle w:val="BodyText"/>
        <w:jc w:val="both"/>
      </w:pPr>
      <w:r>
        <w:rPr/>
        <w:t>Gabinete do Procurador-Geral de </w:t>
      </w:r>
      <w:r>
        <w:rPr>
          <w:spacing w:val="-2"/>
        </w:rPr>
        <w:t>Justiça</w:t>
      </w:r>
    </w:p>
    <w:p>
      <w:pPr>
        <w:pStyle w:val="BodyText"/>
        <w:spacing w:before="18"/>
        <w:ind w:left="0"/>
      </w:pPr>
    </w:p>
    <w:p>
      <w:pPr>
        <w:pStyle w:val="Heading2"/>
        <w:spacing w:line="249" w:lineRule="auto"/>
      </w:pPr>
      <w:r>
        <w:rPr/>
        <w:t>O</w:t>
      </w:r>
      <w:r>
        <w:rPr>
          <w:spacing w:val="62"/>
        </w:rPr>
        <w:t> </w:t>
      </w:r>
      <w:r>
        <w:rPr/>
        <w:t>PROCURADOR-GERAL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JUSTIÇA</w:t>
      </w:r>
      <w:r>
        <w:rPr>
          <w:spacing w:val="62"/>
        </w:rPr>
        <w:t> </w:t>
      </w:r>
      <w:r>
        <w:rPr/>
        <w:t>DO</w:t>
      </w:r>
      <w:r>
        <w:rPr>
          <w:spacing w:val="62"/>
        </w:rPr>
        <w:t> </w:t>
      </w:r>
      <w:r>
        <w:rPr/>
        <w:t>ESTADO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ALAGOAS,</w:t>
      </w:r>
      <w:r>
        <w:rPr>
          <w:spacing w:val="62"/>
        </w:rPr>
        <w:t> </w:t>
      </w:r>
      <w:r>
        <w:rPr/>
        <w:t>DR.</w:t>
      </w:r>
      <w:r>
        <w:rPr>
          <w:spacing w:val="62"/>
        </w:rPr>
        <w:t> </w:t>
      </w:r>
      <w:r>
        <w:rPr/>
        <w:t>LEAN</w:t>
      </w:r>
      <w:r>
        <w:rPr>
          <w:spacing w:val="62"/>
        </w:rPr>
        <w:t> </w:t>
      </w:r>
      <w:r>
        <w:rPr/>
        <w:t>ANTÔNIO</w:t>
      </w:r>
      <w:r>
        <w:rPr>
          <w:spacing w:val="62"/>
        </w:rPr>
        <w:t> </w:t>
      </w:r>
      <w:r>
        <w:rPr/>
        <w:t>FERREIRA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ARAÚJO, DESPACHOU NO DIA 28 DE JANEIRO DO CORRENTE ANO, OS SEGUINTES PROCESSOS:</w:t>
      </w:r>
    </w:p>
    <w:p>
      <w:pPr>
        <w:pStyle w:val="BodyText"/>
        <w:spacing w:before="10"/>
        <w:ind w:left="0"/>
      </w:pPr>
    </w:p>
    <w:p>
      <w:pPr>
        <w:pStyle w:val="BodyText"/>
        <w:spacing w:before="0"/>
      </w:pPr>
      <w:r>
        <w:rPr/>
        <w:t>Proc: 01.2024.00000392-</w:t>
      </w:r>
      <w:r>
        <w:rPr>
          <w:spacing w:val="-5"/>
        </w:rPr>
        <w:t>1.</w:t>
      </w:r>
    </w:p>
    <w:p>
      <w:pPr>
        <w:pStyle w:val="BodyText"/>
        <w:spacing w:line="249" w:lineRule="auto"/>
        <w:ind w:right="6131"/>
      </w:pPr>
      <w:r>
        <w:rPr/>
        <w:t>Interessado:</w:t>
      </w:r>
      <w:r>
        <w:rPr>
          <w:spacing w:val="-7"/>
        </w:rPr>
        <w:t> </w:t>
      </w:r>
      <w:r>
        <w:rPr/>
        <w:t>63ª</w:t>
      </w:r>
      <w:r>
        <w:rPr>
          <w:spacing w:val="-7"/>
        </w:rPr>
        <w:t> </w:t>
      </w:r>
      <w:r>
        <w:rPr/>
        <w:t>Promotoria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Justiça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Capital. Assunto: Exercício irregular da função pública.</w:t>
      </w:r>
    </w:p>
    <w:p>
      <w:pPr>
        <w:pStyle w:val="BodyText"/>
        <w:spacing w:before="2"/>
      </w:pPr>
      <w:r>
        <w:rPr/>
        <w:t>Despacho: À douta Assessoria Técnica para análise e </w:t>
      </w:r>
      <w:r>
        <w:rPr>
          <w:spacing w:val="-2"/>
        </w:rPr>
        <w:t>parecer.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</w:pPr>
      <w:r>
        <w:rPr/>
        <w:t>Proc: 02.2025.00000405-</w:t>
      </w:r>
      <w:r>
        <w:rPr>
          <w:spacing w:val="-5"/>
        </w:rPr>
        <w:t>7.</w:t>
      </w:r>
    </w:p>
    <w:p>
      <w:pPr>
        <w:pStyle w:val="BodyText"/>
        <w:spacing w:line="249" w:lineRule="auto"/>
        <w:ind w:right="6131"/>
      </w:pPr>
      <w:r>
        <w:rPr/>
        <w:t>Interessado:</w:t>
      </w:r>
      <w:r>
        <w:rPr>
          <w:spacing w:val="-7"/>
        </w:rPr>
        <w:t> </w:t>
      </w:r>
      <w:r>
        <w:rPr/>
        <w:t>61ª</w:t>
      </w:r>
      <w:r>
        <w:rPr>
          <w:spacing w:val="-7"/>
        </w:rPr>
        <w:t> </w:t>
      </w:r>
      <w:r>
        <w:rPr/>
        <w:t>Promotoria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Justiça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Capital. Assunto:Requerimento de providências.</w:t>
      </w:r>
    </w:p>
    <w:p>
      <w:pPr>
        <w:pStyle w:val="BodyText"/>
        <w:spacing w:line="249" w:lineRule="auto" w:before="1"/>
      </w:pPr>
      <w:r>
        <w:rPr/>
        <w:t>Despacho: Acolho o parecer da douta Assessoria Técnica, determinando a remessa dos autos à Promotoria de Justiça de Mata </w:t>
      </w:r>
      <w:r>
        <w:rPr>
          <w:spacing w:val="-2"/>
        </w:rPr>
        <w:t>Grande.</w:t>
      </w:r>
    </w:p>
    <w:p>
      <w:pPr>
        <w:pStyle w:val="BodyText"/>
        <w:spacing w:before="11"/>
        <w:ind w:left="0"/>
      </w:pPr>
    </w:p>
    <w:p>
      <w:pPr>
        <w:pStyle w:val="BodyText"/>
        <w:spacing w:before="0"/>
        <w:jc w:val="both"/>
      </w:pPr>
      <w:r>
        <w:rPr/>
        <w:t>Proc: 02.2025.00000484-</w:t>
      </w:r>
      <w:r>
        <w:rPr>
          <w:spacing w:val="-5"/>
        </w:rPr>
        <w:t>6.</w:t>
      </w:r>
    </w:p>
    <w:p>
      <w:pPr>
        <w:pStyle w:val="BodyText"/>
        <w:spacing w:line="249" w:lineRule="auto"/>
        <w:ind w:right="4099"/>
      </w:pPr>
      <w:r>
        <w:rPr/>
        <w:t>Interessado: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Prefeito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São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Tapera. Assunto:Requerimento de providências.</w:t>
      </w:r>
    </w:p>
    <w:p>
      <w:pPr>
        <w:pStyle w:val="BodyText"/>
        <w:spacing w:line="501" w:lineRule="auto" w:before="1"/>
        <w:ind w:right="739"/>
      </w:pPr>
      <w:r>
        <w:rPr/>
        <w:t>Despacho:</w:t>
      </w:r>
      <w:r>
        <w:rPr>
          <w:spacing w:val="-3"/>
        </w:rPr>
        <w:t> </w:t>
      </w:r>
      <w:r>
        <w:rPr/>
        <w:t>Acolho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parecer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douta</w:t>
      </w:r>
      <w:r>
        <w:rPr>
          <w:spacing w:val="-3"/>
        </w:rPr>
        <w:t> </w:t>
      </w:r>
      <w:r>
        <w:rPr/>
        <w:t>Assessoria</w:t>
      </w:r>
      <w:r>
        <w:rPr>
          <w:spacing w:val="-3"/>
        </w:rPr>
        <w:t> </w:t>
      </w:r>
      <w:r>
        <w:rPr/>
        <w:t>Técnica,</w:t>
      </w:r>
      <w:r>
        <w:rPr>
          <w:spacing w:val="-3"/>
        </w:rPr>
        <w:t> </w:t>
      </w:r>
      <w:r>
        <w:rPr/>
        <w:t>determinando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juntada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Autos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01.2024.00004866-</w:t>
      </w:r>
      <w:r>
        <w:rPr/>
        <w:t>3. Proc: 02.2025.00000499-0.</w:t>
      </w:r>
    </w:p>
    <w:sectPr>
      <w:pgSz w:w="11900" w:h="16840"/>
      <w:pgMar w:header="799" w:footer="725" w:top="254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000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2480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89196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9145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8896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88384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87872" type="#_x0000_t202" id="docshape14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5536">
          <wp:simplePos x="0" y="0"/>
          <wp:positionH relativeFrom="page">
            <wp:posOffset>456451</wp:posOffset>
          </wp:positionH>
          <wp:positionV relativeFrom="page">
            <wp:posOffset>507626</wp:posOffset>
          </wp:positionV>
          <wp:extent cx="6655922" cy="782737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5922" cy="782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048">
              <wp:simplePos x="0" y="0"/>
              <wp:positionH relativeFrom="page">
                <wp:posOffset>431800</wp:posOffset>
              </wp:positionH>
              <wp:positionV relativeFrom="page">
                <wp:posOffset>1613280</wp:posOffset>
              </wp:positionV>
              <wp:extent cx="669290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0432" from="34pt,127.029999pt" to="561pt,127.029999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560">
              <wp:simplePos x="0" y="0"/>
              <wp:positionH relativeFrom="page">
                <wp:posOffset>419100</wp:posOffset>
              </wp:positionH>
              <wp:positionV relativeFrom="page">
                <wp:posOffset>1370108</wp:posOffset>
              </wp:positionV>
              <wp:extent cx="2433955" cy="15367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4339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Data de disponibilização: 29 de janeiro de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107.882538pt;width:191.65pt;height:12.1pt;mso-position-horizontal-relative:page;mso-position-vertical-relative:page;z-index:-15889920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Data de disponibilização: 29 de janeiro de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072">
              <wp:simplePos x="0" y="0"/>
              <wp:positionH relativeFrom="page">
                <wp:posOffset>6339994</wp:posOffset>
              </wp:positionH>
              <wp:positionV relativeFrom="page">
                <wp:posOffset>1370108</wp:posOffset>
              </wp:positionV>
              <wp:extent cx="798195" cy="15367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798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Edição nº </w:t>
                          </w:r>
                          <w:r>
                            <w:rPr>
                              <w:spacing w:val="-4"/>
                            </w:rPr>
                            <w:t>1299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212158pt;margin-top:107.882538pt;width:62.85pt;height:12.1pt;mso-position-horizontal-relative:page;mso-position-vertical-relative:page;z-index:-1588940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Edição nº </w:t>
                    </w:r>
                    <w:r>
                      <w:rPr>
                        <w:spacing w:val="-4"/>
                      </w:rPr>
                      <w:t>1299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234" w:hanging="13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3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34" w:hanging="12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25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"/>
      <w:ind w:left="234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34"/>
      <w:outlineLvl w:val="2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234" w:hanging="15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2025-07-18T12:53:41Z</dcterms:created>
  <dcterms:modified xsi:type="dcterms:W3CDTF">2025-07-18T12:53:41Z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2025-07-08T00:00:00Z</vt:filetime>
  </property>
</Properties>
</file>