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21 de janeiro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1293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498538</wp:posOffset>
                </wp:positionH>
                <wp:positionV relativeFrom="paragraph">
                  <wp:posOffset>257972</wp:posOffset>
                </wp:positionV>
                <wp:extent cx="6559550" cy="95758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12782pt;width:516.5pt;height:75.4pt;mso-position-horizontal-relative:page;mso-position-vertical-relative:paragraph;z-index:-15727616;mso-wrap-distance-left:0;mso-wrap-distance-right:0" id="docshapegroup4" coordorigin="785,406" coordsize="10330,1508">
                <v:shape style="position:absolute;left:792;top:413;width:10315;height:1493" id="docshape5" coordorigin="793,414" coordsize="10315,1493" path="m793,414l793,1906m793,1906l11108,1906m11108,1906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6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6;width:2622;height:168" type="#_x0000_t202" id="docshape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5;width:3342;height:779" type="#_x0000_t202" id="docshape8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4086"/>
        <w:gridCol w:w="3172"/>
      </w:tblGrid>
      <w:tr>
        <w:trPr>
          <w:trHeight w:val="344" w:hRule="atLeast"/>
        </w:trPr>
        <w:tc>
          <w:tcPr>
            <w:tcW w:w="3057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3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 w:right="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25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984"/>
              <w:jc w:val="left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105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87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95"/>
              <w:jc w:val="right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36"/>
              <w:jc w:val="right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1293" w:right="710" w:hanging="196"/>
              <w:jc w:val="left"/>
              <w:rPr>
                <w:sz w:val="15"/>
              </w:rPr>
            </w:pPr>
            <w:r>
              <w:rPr>
                <w:sz w:val="15"/>
              </w:rPr>
              <w:t>Luiz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José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Gomes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Vasconcelos Sandra Malta Prata Lima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252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</w:tr>
      <w:tr>
        <w:trPr>
          <w:trHeight w:val="75" w:hRule="atLeast"/>
        </w:trPr>
        <w:tc>
          <w:tcPr>
            <w:tcW w:w="3057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86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72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57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jc w:val="left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25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72" w:right="710" w:firstLine="329"/>
              <w:jc w:val="left"/>
              <w:rPr>
                <w:sz w:val="15"/>
              </w:rPr>
            </w:pPr>
            <w:r>
              <w:rPr>
                <w:sz w:val="15"/>
              </w:rPr>
              <w:t>Maurício André Barros Pitta Kícia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Oliveira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Cabral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Vasconcellos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right="25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209562</wp:posOffset>
                </wp:positionV>
                <wp:extent cx="39243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500977pt;width:309pt;height:.1pt;mso-position-horizontal-relative:page;mso-position-vertical-relative:paragraph;z-index:-15727104;mso-wrap-distance-left:0;mso-wrap-distance-right:0" id="docshape9" coordorigin="2860,330" coordsize="6180,0" path="m2860,330l9040,330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6592;mso-wrap-distance-left:0;mso-wrap-distance-right:0" id="docshape10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>
          <w:u w:val="single"/>
        </w:rPr>
        <w:t>ATO PGJ Nº </w:t>
      </w:r>
      <w:r>
        <w:rPr>
          <w:spacing w:val="-2"/>
          <w:u w:val="single"/>
        </w:rPr>
        <w:t>2/2025</w:t>
      </w:r>
    </w:p>
    <w:p>
      <w:pPr>
        <w:pStyle w:val="BodyText"/>
        <w:spacing w:before="18"/>
      </w:pPr>
    </w:p>
    <w:p>
      <w:pPr>
        <w:pStyle w:val="BodyText"/>
        <w:spacing w:before="1"/>
        <w:ind w:left="234"/>
      </w:pPr>
      <w:r>
        <w:rPr/>
        <w:t>Regulamenta a concessão e o pagamento de diárias aos membros e servidores do Ministério Público do Estado de </w:t>
      </w:r>
      <w:r>
        <w:rPr>
          <w:spacing w:val="-2"/>
        </w:rPr>
        <w:t>Alagoas.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before="1"/>
        <w:ind w:left="234"/>
      </w:pPr>
      <w:r>
        <w:rPr/>
        <w:t>O</w:t>
      </w:r>
      <w:r>
        <w:rPr>
          <w:spacing w:val="4"/>
        </w:rPr>
        <w:t> </w:t>
      </w:r>
      <w:r>
        <w:rPr/>
        <w:t>PROCURADOR-GERAL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JUSTIÇA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MINISTÉRIO</w:t>
      </w:r>
      <w:r>
        <w:rPr>
          <w:spacing w:val="4"/>
        </w:rPr>
        <w:t> </w:t>
      </w:r>
      <w:r>
        <w:rPr/>
        <w:t>PÚBLICO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ESTADO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ALAGOAS,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/>
        <w:t>exercício</w:t>
      </w:r>
      <w:r>
        <w:rPr>
          <w:spacing w:val="4"/>
        </w:rPr>
        <w:t> </w:t>
      </w:r>
      <w:r>
        <w:rPr/>
        <w:t>das</w:t>
      </w:r>
      <w:r>
        <w:rPr>
          <w:spacing w:val="4"/>
        </w:rPr>
        <w:t> </w:t>
      </w:r>
      <w:r>
        <w:rPr>
          <w:spacing w:val="-2"/>
        </w:rPr>
        <w:t>atribuições</w:t>
      </w:r>
    </w:p>
    <w:p>
      <w:pPr>
        <w:pStyle w:val="BodyText"/>
        <w:spacing w:before="9"/>
        <w:ind w:left="234"/>
      </w:pPr>
      <w:r>
        <w:rPr/>
        <w:t>legais e regimentais, ao </w:t>
      </w:r>
      <w:r>
        <w:rPr>
          <w:spacing w:val="-2"/>
        </w:rPr>
        <w:t>considerar,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26"/>
        <w:jc w:val="both"/>
      </w:pPr>
      <w:r>
        <w:rPr/>
        <w:t>a necessidade atualizar as normas procedimentais de concessão de pagamento de diárias aos Membros e Servidores do Ministério Público do Estado de Alagoas,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30"/>
        <w:jc w:val="both"/>
      </w:pPr>
      <w:r>
        <w:rPr/>
        <w:t>o disposto no art. 59, inciso V, ambos da Lei Complementar Estadual nº. 15/96, na Resolução nº 58, de 20 de julho de 2010, do Conselho Nacional do Ministério Público – CNMP, e no art. 63, da Lei Estadual nº 5.247, de 26 de julho de 1991.</w:t>
      </w:r>
    </w:p>
    <w:p>
      <w:pPr>
        <w:pStyle w:val="BodyText"/>
        <w:spacing w:before="10"/>
      </w:pPr>
    </w:p>
    <w:p>
      <w:pPr>
        <w:pStyle w:val="BodyText"/>
        <w:spacing w:line="501" w:lineRule="auto" w:before="1"/>
        <w:ind w:left="234" w:right="6748"/>
      </w:pPr>
      <w:r>
        <w:rPr/>
        <w:t>o</w:t>
      </w:r>
      <w:r>
        <w:rPr>
          <w:spacing w:val="-7"/>
        </w:rPr>
        <w:t> </w:t>
      </w:r>
      <w:r>
        <w:rPr/>
        <w:t>prescrito</w:t>
      </w:r>
      <w:r>
        <w:rPr>
          <w:spacing w:val="-7"/>
        </w:rPr>
        <w:t> </w:t>
      </w:r>
      <w:r>
        <w:rPr/>
        <w:t>pela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Complementar</w:t>
      </w:r>
      <w:r>
        <w:rPr>
          <w:spacing w:val="-7"/>
        </w:rPr>
        <w:t> </w:t>
      </w:r>
      <w:r>
        <w:rPr/>
        <w:t>nº</w:t>
      </w:r>
      <w:r>
        <w:rPr>
          <w:spacing w:val="-7"/>
        </w:rPr>
        <w:t> </w:t>
      </w:r>
      <w:r>
        <w:rPr/>
        <w:t>64/2024. R E S O L V E:</w:t>
      </w:r>
    </w:p>
    <w:p>
      <w:pPr>
        <w:pStyle w:val="BodyText"/>
        <w:spacing w:line="249" w:lineRule="auto"/>
        <w:ind w:left="234" w:right="205"/>
        <w:jc w:val="both"/>
      </w:pPr>
      <w:r>
        <w:rPr/>
        <w:t>Art. 1º. O regime de concessão e o pagamento de diárias, para cobertura de despesas de alimentação, hospedagem e locomoção urbana nos deslocamentos a serviço, de membros e servidores do Ministério Público do Estado de Alagoas, observará o estabelecido neste ato.</w:t>
      </w:r>
    </w:p>
    <w:p>
      <w:pPr>
        <w:pStyle w:val="BodyText"/>
        <w:spacing w:before="9"/>
      </w:pPr>
    </w:p>
    <w:p>
      <w:pPr>
        <w:pStyle w:val="BodyText"/>
        <w:spacing w:line="249" w:lineRule="auto" w:before="1"/>
        <w:ind w:left="234" w:right="227"/>
        <w:jc w:val="both"/>
      </w:pPr>
      <w:r>
        <w:rPr/>
        <w:t>§1º Os valores das diárias dos servidores e dos membros do Ministério Público do Estado de Alagoas passam a ser os do Anexos I e II deste ato.</w:t>
      </w:r>
    </w:p>
    <w:p>
      <w:pPr>
        <w:pStyle w:val="BodyText"/>
        <w:spacing w:before="10"/>
      </w:pPr>
    </w:p>
    <w:p>
      <w:pPr>
        <w:pStyle w:val="BodyText"/>
        <w:spacing w:line="501" w:lineRule="auto"/>
        <w:ind w:left="234" w:right="4422"/>
      </w:pPr>
      <w:r>
        <w:rPr/>
        <w:t>§2º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autorização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concessão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diárias</w:t>
      </w:r>
      <w:r>
        <w:rPr>
          <w:spacing w:val="-5"/>
        </w:rPr>
        <w:t> </w:t>
      </w:r>
      <w:r>
        <w:rPr/>
        <w:t>pressupõe,</w:t>
      </w:r>
      <w:r>
        <w:rPr>
          <w:spacing w:val="-5"/>
        </w:rPr>
        <w:t> </w:t>
      </w:r>
      <w:r>
        <w:rPr/>
        <w:t>obrigatoriamente: I – compatibilidade dos motivos do deslocamento com o interesse público;</w:t>
      </w:r>
    </w:p>
    <w:p>
      <w:pPr>
        <w:pStyle w:val="BodyText"/>
        <w:spacing w:after="0" w:line="501" w:lineRule="auto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ind w:left="152"/>
        <w:rPr>
          <w:sz w:val="20"/>
        </w:rPr>
      </w:pPr>
      <w:r>
        <w:rPr>
          <w:sz w:val="20"/>
        </w:rPr>
        <w:drawing>
          <wp:inline distT="0" distB="0" distL="0" distR="0">
            <wp:extent cx="6689307" cy="786288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9438" w:val="left" w:leader="none"/>
        </w:tabs>
        <w:spacing w:before="132"/>
        <w:ind w:left="113"/>
      </w:pPr>
      <w:r>
        <w:rPr/>
        <w:t>Data de disponibilização: 21 de janeiro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1293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6080;mso-wrap-distance-left:0;mso-wrap-distance-right:0" id="docshape11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</w:pPr>
    </w:p>
    <w:p>
      <w:pPr>
        <w:pStyle w:val="BodyText"/>
        <w:spacing w:line="249" w:lineRule="auto"/>
        <w:ind w:left="234" w:right="228"/>
        <w:jc w:val="both"/>
      </w:pPr>
      <w:r>
        <w:rPr/>
        <w:t>II – correlação entre o motivo do deslocamento e as atribuições do cargo ou as atividades desempenhadas no exercício da função comissionada ou do cargo em comissão.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7"/>
        <w:jc w:val="both"/>
      </w:pPr>
      <w:r>
        <w:rPr/>
        <w:t>Art. 2º. O membro ou servidor que se deslocar, em caráter eventual, transitório e em razão de serviço, para localidade diversa</w:t>
      </w:r>
      <w:r>
        <w:rPr>
          <w:spacing w:val="40"/>
        </w:rPr>
        <w:t> </w:t>
      </w:r>
      <w:r>
        <w:rPr/>
        <w:t>de sua sede fará jus à percepção de diárias, sem prejuízo do custeio das passagens ou do pagamento de indenização de transporte, inclusive quando o deslocamento se der em veículo próprio do membro ou servidor.</w:t>
      </w:r>
    </w:p>
    <w:p>
      <w:pPr>
        <w:pStyle w:val="BodyText"/>
        <w:spacing w:line="249" w:lineRule="auto" w:before="2"/>
        <w:ind w:left="234" w:right="229"/>
        <w:jc w:val="both"/>
      </w:pPr>
      <w:r>
        <w:rPr/>
        <w:t>§1º A diária será concedida por dia de afastamento, sendo devida pela metade quando o deslocamento não exigir pernoite fora da sede, por período superior a 6 (seis) horas, ou quando a hospedagem for custeada por órgão ou entidade da administração </w:t>
      </w:r>
      <w:r>
        <w:rPr>
          <w:spacing w:val="-2"/>
        </w:rPr>
        <w:t>pública.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4"/>
        <w:jc w:val="both"/>
      </w:pPr>
      <w:r>
        <w:rPr/>
        <w:t>§2º O pagamento no caso de deslocamento que incluam finais de semana ou feriados será excepcional, devendo ser previamente autorizada pela administração superior e expressamente justificado.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6"/>
        <w:jc w:val="both"/>
      </w:pPr>
      <w:r>
        <w:rPr/>
        <w:t>§3º Não serão concedidas diárias para a realização de atividades durante os períodos de recesso, salvo se previamente autorizadas pelo Procurador-Geral de Justiça.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7"/>
        <w:jc w:val="both"/>
      </w:pPr>
      <w:r>
        <w:rPr/>
        <w:t>§4º Para atividades a serem realizadas fora do Estado de Alagoas, somente serão concedidas diárias quando previamente autorizadas pelo Procurador-Geral de Justiça.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§5º Não serão concedidas diárias aos membros e servidores que se deslocarem entre localidades integrantes da mesma região geográfica onde exercerem as atribuições do cargo, na forma do Anexo IV.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Art. 3º. O pagamento de diárias deverá ser publicado no Diário Oficial Eletrônico com os seguintes </w:t>
      </w:r>
      <w:r>
        <w:rPr>
          <w:spacing w:val="-2"/>
        </w:rPr>
        <w:t>elementos: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 Nome, cargo ou função, matrícula e o CPF do Membro ou Servidor </w:t>
      </w:r>
      <w:r>
        <w:rPr>
          <w:spacing w:val="-2"/>
          <w:sz w:val="18"/>
        </w:rPr>
        <w:t>beneficiário;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– A descrição objetiva do serviço a ser </w:t>
      </w:r>
      <w:r>
        <w:rPr>
          <w:spacing w:val="-2"/>
          <w:sz w:val="18"/>
        </w:rPr>
        <w:t>executado;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00"/>
        <w:jc w:val="left"/>
        <w:rPr>
          <w:sz w:val="18"/>
        </w:rPr>
      </w:pPr>
      <w:r>
        <w:rPr>
          <w:sz w:val="18"/>
        </w:rPr>
        <w:t>– Indicação dos locais onde o serviço será </w:t>
      </w:r>
      <w:r>
        <w:rPr>
          <w:spacing w:val="-2"/>
          <w:sz w:val="18"/>
        </w:rPr>
        <w:t>realizado;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0" w:after="0"/>
        <w:ind w:left="454" w:right="0" w:hanging="220"/>
        <w:jc w:val="left"/>
        <w:rPr>
          <w:sz w:val="18"/>
        </w:rPr>
      </w:pPr>
      <w:r>
        <w:rPr>
          <w:sz w:val="18"/>
        </w:rPr>
        <w:t>– O período do afastamento; </w:t>
      </w:r>
      <w:r>
        <w:rPr>
          <w:spacing w:val="-10"/>
          <w:sz w:val="18"/>
        </w:rPr>
        <w:t>e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404" w:right="0" w:hanging="170"/>
        <w:jc w:val="left"/>
        <w:rPr>
          <w:sz w:val="18"/>
        </w:rPr>
      </w:pPr>
      <w:r>
        <w:rPr>
          <w:sz w:val="18"/>
        </w:rPr>
        <w:t>– O valor unitário, a quantidade de diárias e a importância total a ser </w:t>
      </w:r>
      <w:r>
        <w:rPr>
          <w:spacing w:val="-2"/>
          <w:sz w:val="18"/>
        </w:rPr>
        <w:t>paga;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3"/>
        <w:jc w:val="both"/>
      </w:pPr>
      <w:r>
        <w:rPr/>
        <w:t>§1º Tratando-se de cumprimento de missão sigilosa, a publicação poderá ser realizada em data posterior à data do </w:t>
      </w:r>
      <w:r>
        <w:rPr>
          <w:spacing w:val="-2"/>
        </w:rPr>
        <w:t>deslocamento.</w:t>
      </w:r>
    </w:p>
    <w:p>
      <w:pPr>
        <w:pStyle w:val="BodyText"/>
        <w:spacing w:line="432" w:lineRule="exact" w:before="41"/>
        <w:ind w:left="234" w:right="1548"/>
      </w:pPr>
      <w:r>
        <w:rPr/>
        <w:t>§2º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diárias</w:t>
      </w:r>
      <w:r>
        <w:rPr>
          <w:spacing w:val="-3"/>
        </w:rPr>
        <w:t> </w:t>
      </w:r>
      <w:r>
        <w:rPr/>
        <w:t>sofrerão</w:t>
      </w:r>
      <w:r>
        <w:rPr>
          <w:spacing w:val="-3"/>
        </w:rPr>
        <w:t> </w:t>
      </w:r>
      <w:r>
        <w:rPr/>
        <w:t>desconto</w:t>
      </w:r>
      <w:r>
        <w:rPr>
          <w:spacing w:val="-3"/>
        </w:rPr>
        <w:t> </w:t>
      </w:r>
      <w:r>
        <w:rPr/>
        <w:t>correspondente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auxílio-alimentação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fizer</w:t>
      </w:r>
      <w:r>
        <w:rPr>
          <w:spacing w:val="-3"/>
        </w:rPr>
        <w:t> </w:t>
      </w:r>
      <w:r>
        <w:rPr/>
        <w:t>jus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membro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servidor. Art. 4º. Processar-se-á o respectivo pedido de concessão de diária na forma descrita abaixo: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168" w:lineRule="exact" w:before="0" w:after="0"/>
        <w:ind w:left="350" w:right="0" w:hanging="116"/>
        <w:jc w:val="left"/>
        <w:rPr>
          <w:sz w:val="18"/>
        </w:rPr>
      </w:pPr>
      <w:r>
        <w:rPr>
          <w:sz w:val="18"/>
        </w:rPr>
        <w:t>–</w:t>
      </w:r>
      <w:r>
        <w:rPr>
          <w:spacing w:val="29"/>
          <w:sz w:val="18"/>
        </w:rPr>
        <w:t> </w:t>
      </w:r>
      <w:r>
        <w:rPr>
          <w:sz w:val="18"/>
        </w:rPr>
        <w:t>Protocolização</w:t>
      </w:r>
      <w:r>
        <w:rPr>
          <w:spacing w:val="30"/>
          <w:sz w:val="18"/>
        </w:rPr>
        <w:t> </w:t>
      </w:r>
      <w:r>
        <w:rPr>
          <w:sz w:val="18"/>
        </w:rPr>
        <w:t>da</w:t>
      </w:r>
      <w:r>
        <w:rPr>
          <w:spacing w:val="30"/>
          <w:sz w:val="18"/>
        </w:rPr>
        <w:t> </w:t>
      </w:r>
      <w:r>
        <w:rPr>
          <w:sz w:val="18"/>
        </w:rPr>
        <w:t>solicitação,</w:t>
      </w:r>
      <w:r>
        <w:rPr>
          <w:spacing w:val="30"/>
          <w:sz w:val="18"/>
        </w:rPr>
        <w:t> </w:t>
      </w:r>
      <w:r>
        <w:rPr>
          <w:sz w:val="18"/>
        </w:rPr>
        <w:t>com</w:t>
      </w:r>
      <w:r>
        <w:rPr>
          <w:spacing w:val="30"/>
          <w:sz w:val="18"/>
        </w:rPr>
        <w:t> </w:t>
      </w:r>
      <w:r>
        <w:rPr>
          <w:sz w:val="18"/>
        </w:rPr>
        <w:t>antecedência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0"/>
          <w:sz w:val="18"/>
        </w:rPr>
        <w:t> </w:t>
      </w:r>
      <w:r>
        <w:rPr>
          <w:sz w:val="18"/>
        </w:rPr>
        <w:t>pelo</w:t>
      </w:r>
      <w:r>
        <w:rPr>
          <w:spacing w:val="30"/>
          <w:sz w:val="18"/>
        </w:rPr>
        <w:t> </w:t>
      </w:r>
      <w:r>
        <w:rPr>
          <w:sz w:val="18"/>
        </w:rPr>
        <w:t>menos</w:t>
      </w:r>
      <w:r>
        <w:rPr>
          <w:spacing w:val="30"/>
          <w:sz w:val="18"/>
        </w:rPr>
        <w:t> </w:t>
      </w:r>
      <w:r>
        <w:rPr>
          <w:sz w:val="18"/>
        </w:rPr>
        <w:t>03</w:t>
      </w:r>
      <w:r>
        <w:rPr>
          <w:spacing w:val="30"/>
          <w:sz w:val="18"/>
        </w:rPr>
        <w:t> </w:t>
      </w:r>
      <w:r>
        <w:rPr>
          <w:sz w:val="18"/>
        </w:rPr>
        <w:t>(três)</w:t>
      </w:r>
      <w:r>
        <w:rPr>
          <w:spacing w:val="30"/>
          <w:sz w:val="18"/>
        </w:rPr>
        <w:t> </w:t>
      </w:r>
      <w:r>
        <w:rPr>
          <w:sz w:val="18"/>
        </w:rPr>
        <w:t>dias</w:t>
      </w:r>
      <w:r>
        <w:rPr>
          <w:spacing w:val="30"/>
          <w:sz w:val="18"/>
        </w:rPr>
        <w:t> </w:t>
      </w:r>
      <w:r>
        <w:rPr>
          <w:sz w:val="18"/>
        </w:rPr>
        <w:t>úteis,</w:t>
      </w:r>
      <w:r>
        <w:rPr>
          <w:spacing w:val="30"/>
          <w:sz w:val="18"/>
        </w:rPr>
        <w:t> </w:t>
      </w:r>
      <w:r>
        <w:rPr>
          <w:sz w:val="18"/>
        </w:rPr>
        <w:t>diretamente</w:t>
      </w:r>
      <w:r>
        <w:rPr>
          <w:spacing w:val="30"/>
          <w:sz w:val="18"/>
        </w:rPr>
        <w:t> </w:t>
      </w:r>
      <w:r>
        <w:rPr>
          <w:sz w:val="18"/>
        </w:rPr>
        <w:t>pela</w:t>
      </w:r>
      <w:r>
        <w:rPr>
          <w:spacing w:val="30"/>
          <w:sz w:val="18"/>
        </w:rPr>
        <w:t> </w:t>
      </w:r>
      <w:r>
        <w:rPr>
          <w:sz w:val="18"/>
        </w:rPr>
        <w:t>pessoa</w:t>
      </w:r>
      <w:r>
        <w:rPr>
          <w:spacing w:val="30"/>
          <w:sz w:val="18"/>
        </w:rPr>
        <w:t> </w:t>
      </w:r>
      <w:r>
        <w:rPr>
          <w:sz w:val="18"/>
        </w:rPr>
        <w:t>do</w:t>
      </w:r>
      <w:r>
        <w:rPr>
          <w:spacing w:val="30"/>
          <w:sz w:val="18"/>
        </w:rPr>
        <w:t> </w:t>
      </w:r>
      <w:r>
        <w:rPr>
          <w:spacing w:val="-2"/>
          <w:sz w:val="18"/>
        </w:rPr>
        <w:t>chefe</w:t>
      </w:r>
    </w:p>
    <w:p>
      <w:pPr>
        <w:pStyle w:val="BodyText"/>
        <w:spacing w:line="249" w:lineRule="auto" w:before="9"/>
        <w:ind w:left="234" w:right="209"/>
        <w:jc w:val="both"/>
      </w:pPr>
      <w:r>
        <w:rPr/>
        <w:t>imediato do Servidor beneficiário, ou por ele próprio, contanto que consignado o respectivo atesto pela autoridade proponente, utilizando o formulário, Anexo III;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1" w:after="0"/>
        <w:ind w:left="384" w:right="0" w:hanging="150"/>
        <w:jc w:val="left"/>
        <w:rPr>
          <w:sz w:val="18"/>
        </w:rPr>
      </w:pPr>
      <w:r>
        <w:rPr>
          <w:sz w:val="18"/>
        </w:rPr>
        <w:t>– Remessa para apreciação do Subprocurador-Geral Administrativo Institucional, por mediação da Diretoria </w:t>
      </w:r>
      <w:r>
        <w:rPr>
          <w:spacing w:val="-2"/>
          <w:sz w:val="18"/>
        </w:rPr>
        <w:t>Geral;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249" w:lineRule="auto" w:before="1" w:after="0"/>
        <w:ind w:left="234" w:right="229" w:firstLine="0"/>
        <w:jc w:val="both"/>
        <w:rPr>
          <w:sz w:val="18"/>
        </w:rPr>
      </w:pPr>
      <w:r>
        <w:rPr>
          <w:sz w:val="18"/>
        </w:rPr>
        <w:t>– Encaminhamento às Diretorias de Programação e Orçamento e de Contabilidade e Finanças (DPO/DCF) para verificação</w:t>
      </w:r>
      <w:r>
        <w:rPr>
          <w:spacing w:val="40"/>
          <w:sz w:val="18"/>
        </w:rPr>
        <w:t> </w:t>
      </w:r>
      <w:r>
        <w:rPr>
          <w:sz w:val="18"/>
        </w:rPr>
        <w:t>de disponibilidade orçamentária e, caso positivo, para o seu imediato pagamento;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0" w:after="0"/>
        <w:ind w:left="454" w:right="0" w:hanging="220"/>
        <w:jc w:val="left"/>
        <w:rPr>
          <w:sz w:val="18"/>
        </w:rPr>
      </w:pPr>
      <w:r>
        <w:rPr>
          <w:sz w:val="18"/>
        </w:rPr>
        <w:t>– Publicação da respectiva portaria, contendo os elementos descritos no art. 3º deste </w:t>
      </w:r>
      <w:r>
        <w:rPr>
          <w:spacing w:val="-4"/>
          <w:sz w:val="18"/>
        </w:rPr>
        <w:t>ato;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9" w:lineRule="auto" w:before="9" w:after="0"/>
        <w:ind w:left="234" w:right="230" w:firstLine="0"/>
        <w:jc w:val="both"/>
        <w:rPr>
          <w:sz w:val="18"/>
        </w:rPr>
      </w:pPr>
      <w:r>
        <w:rPr>
          <w:sz w:val="18"/>
        </w:rPr>
        <w:t>– Comprovação do efetivo deslocamento do beneficiário às Diretorias de Programação e Orçamento e de Contabilidade e Finanças (DPO/DCF), na forma do art. 7º deste ato;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1" w:after="0"/>
        <w:ind w:left="454" w:right="0" w:hanging="220"/>
        <w:jc w:val="left"/>
        <w:rPr>
          <w:sz w:val="18"/>
        </w:rPr>
      </w:pPr>
      <w:r>
        <w:rPr>
          <w:sz w:val="18"/>
        </w:rPr>
        <w:t>– Arquivamento dos </w:t>
      </w:r>
      <w:r>
        <w:rPr>
          <w:spacing w:val="-2"/>
          <w:sz w:val="18"/>
        </w:rPr>
        <w:t>autos;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8"/>
        <w:jc w:val="both"/>
      </w:pPr>
      <w:r>
        <w:rPr/>
        <w:t>Parágrafo único. O pedido de diária deverá ser protocolado ou enviado para o e-mail </w:t>
      </w:r>
      <w:hyperlink r:id="rId7">
        <w:r>
          <w:rPr>
            <w:u w:val="single"/>
          </w:rPr>
          <w:t>ged.diariasepassagens@mpal.mp.br</w:t>
        </w:r>
      </w:hyperlink>
      <w:r>
        <w:rPr/>
        <w:t> no prazo máximo e improrrogável de 30 dias após o fim do deslocamento, sob pena de indeferimento.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Art.</w:t>
      </w:r>
      <w:r>
        <w:rPr>
          <w:spacing w:val="69"/>
        </w:rPr>
        <w:t> </w:t>
      </w:r>
      <w:r>
        <w:rPr/>
        <w:t>5º.</w:t>
      </w:r>
      <w:r>
        <w:rPr>
          <w:spacing w:val="69"/>
        </w:rPr>
        <w:t> </w:t>
      </w:r>
      <w:r>
        <w:rPr/>
        <w:t>Os</w:t>
      </w:r>
      <w:r>
        <w:rPr>
          <w:spacing w:val="69"/>
        </w:rPr>
        <w:t> </w:t>
      </w:r>
      <w:r>
        <w:rPr/>
        <w:t>servidores</w:t>
      </w:r>
      <w:r>
        <w:rPr>
          <w:spacing w:val="69"/>
        </w:rPr>
        <w:t> </w:t>
      </w:r>
      <w:r>
        <w:rPr/>
        <w:t>em</w:t>
      </w:r>
      <w:r>
        <w:rPr>
          <w:spacing w:val="69"/>
        </w:rPr>
        <w:t> </w:t>
      </w:r>
      <w:r>
        <w:rPr/>
        <w:t>deslocamento</w:t>
      </w:r>
      <w:r>
        <w:rPr>
          <w:spacing w:val="69"/>
        </w:rPr>
        <w:t> </w:t>
      </w:r>
      <w:r>
        <w:rPr/>
        <w:t>que</w:t>
      </w:r>
      <w:r>
        <w:rPr>
          <w:spacing w:val="69"/>
        </w:rPr>
        <w:t> </w:t>
      </w:r>
      <w:r>
        <w:rPr/>
        <w:t>compuserem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mesma</w:t>
      </w:r>
      <w:r>
        <w:rPr>
          <w:spacing w:val="69"/>
        </w:rPr>
        <w:t> </w:t>
      </w:r>
      <w:r>
        <w:rPr/>
        <w:t>equipe</w:t>
      </w:r>
      <w:r>
        <w:rPr>
          <w:spacing w:val="69"/>
        </w:rPr>
        <w:t> </w:t>
      </w:r>
      <w:r>
        <w:rPr/>
        <w:t>de</w:t>
      </w:r>
      <w:r>
        <w:rPr>
          <w:spacing w:val="69"/>
        </w:rPr>
        <w:t> </w:t>
      </w:r>
      <w:r>
        <w:rPr/>
        <w:t>trabalho</w:t>
      </w:r>
      <w:r>
        <w:rPr>
          <w:spacing w:val="69"/>
        </w:rPr>
        <w:t> </w:t>
      </w:r>
      <w:r>
        <w:rPr/>
        <w:t>ou</w:t>
      </w:r>
      <w:r>
        <w:rPr>
          <w:spacing w:val="69"/>
        </w:rPr>
        <w:t> </w:t>
      </w:r>
      <w:r>
        <w:rPr/>
        <w:t>que</w:t>
      </w:r>
      <w:r>
        <w:rPr>
          <w:spacing w:val="69"/>
        </w:rPr>
        <w:t> </w:t>
      </w:r>
      <w:r>
        <w:rPr/>
        <w:t>estejam</w:t>
      </w:r>
      <w:r>
        <w:rPr>
          <w:spacing w:val="69"/>
        </w:rPr>
        <w:t> </w:t>
      </w:r>
      <w:r>
        <w:rPr>
          <w:spacing w:val="-2"/>
        </w:rPr>
        <w:t>realizando</w:t>
      </w:r>
    </w:p>
    <w:sectPr>
      <w:pgSz w:w="11900" w:h="16840"/>
      <w:pgMar w:header="0" w:footer="725" w:top="80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3296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6278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6227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350" w:hanging="1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0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1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3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4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5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6" w:hanging="11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54" w:hanging="22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ged.diariasepassagens@mpal.mp.b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2025-07-18T12:55:30Z</dcterms:created>
  <dcterms:modified xsi:type="dcterms:W3CDTF">2025-07-18T12:55:30Z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2025-07-08T00:00:00Z</vt:filetime>
  </property>
</Properties>
</file>