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52"/>
        <w:rPr>
          <w:rFonts w:ascii="Times New Roman"/>
          <w:sz w:val="20"/>
        </w:rPr>
      </w:pPr>
      <w:r>
        <w:rPr>
          <w:rFonts w:ascii="Times New Roman"/>
          <w:sz w:val="20"/>
        </w:rPr>
        <w:drawing>
          <wp:inline distT="0" distB="0" distL="0" distR="0">
            <wp:extent cx="6686116" cy="786288"/>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6686116" cy="786288"/>
                    </a:xfrm>
                    <a:prstGeom prst="rect">
                      <a:avLst/>
                    </a:prstGeom>
                  </pic:spPr>
                </pic:pic>
              </a:graphicData>
            </a:graphic>
          </wp:inline>
        </w:drawing>
      </w:r>
      <w:r>
        <w:rPr>
          <w:rFonts w:ascii="Times New Roman"/>
          <w:sz w:val="20"/>
        </w:rPr>
      </w:r>
    </w:p>
    <w:p>
      <w:pPr>
        <w:pStyle w:val="BodyText"/>
        <w:tabs>
          <w:tab w:pos="9538" w:val="left" w:leader="none"/>
        </w:tabs>
        <w:spacing w:before="143"/>
        <w:ind w:left="113"/>
      </w:pPr>
      <w:r>
        <w:rPr/>
        <w:t>Data de disponibilização: 24 de fevereiro de </w:t>
      </w:r>
      <w:r>
        <w:rPr>
          <w:spacing w:val="-4"/>
        </w:rPr>
        <w:t>2023</w:t>
      </w:r>
      <w:r>
        <w:rPr/>
        <w:tab/>
        <w:t>Edição nº </w:t>
      </w:r>
      <w:r>
        <w:rPr>
          <w:spacing w:val="-5"/>
        </w:rPr>
        <w:t>838</w:t>
      </w:r>
    </w:p>
    <w:p>
      <w:pPr>
        <w:pStyle w:val="BodyText"/>
        <w:rPr>
          <w:sz w:val="12"/>
        </w:rPr>
      </w:pPr>
      <w:r>
        <w:rPr>
          <w:sz w:val="12"/>
        </w:rPr>
        <mc:AlternateContent>
          <mc:Choice Requires="wps">
            <w:drawing>
              <wp:anchor distT="0" distB="0" distL="0" distR="0" allowOverlap="1" layoutInCell="1" locked="0" behindDoc="1" simplePos="0" relativeHeight="487587840">
                <wp:simplePos x="0" y="0"/>
                <wp:positionH relativeFrom="page">
                  <wp:posOffset>431800</wp:posOffset>
                </wp:positionH>
                <wp:positionV relativeFrom="paragraph">
                  <wp:posOffset>103000</wp:posOffset>
                </wp:positionV>
                <wp:extent cx="66929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110282pt;width:527pt;height:.1pt;mso-position-horizontal-relative:page;mso-position-vertical-relative:paragraph;z-index:-15728640;mso-wrap-distance-left:0;mso-wrap-distance-right:0" id="docshape4" coordorigin="680,162" coordsize="10540,0" path="m680,162l11220,162e" filled="false" stroked="true" strokeweight=".5pt" strokecolor="#00336a">
                <v:path arrowok="t"/>
                <v:stroke dashstyle="solid"/>
                <w10:wrap type="topAndBottom"/>
              </v:shape>
            </w:pict>
          </mc:Fallback>
        </mc:AlternateContent>
      </w:r>
    </w:p>
    <w:p>
      <w:pPr>
        <w:pStyle w:val="BodyText"/>
        <w:spacing w:before="16" w:after="1"/>
        <w:rPr>
          <w:sz w:val="20"/>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1"/>
        <w:gridCol w:w="3572"/>
        <w:gridCol w:w="3282"/>
      </w:tblGrid>
      <w:tr>
        <w:trPr>
          <w:trHeight w:val="511" w:hRule="atLeast"/>
        </w:trPr>
        <w:tc>
          <w:tcPr>
            <w:tcW w:w="10315" w:type="dxa"/>
            <w:gridSpan w:val="3"/>
            <w:tcBorders>
              <w:left w:val="single" w:sz="6" w:space="0" w:color="00336A"/>
            </w:tcBorders>
          </w:tcPr>
          <w:p>
            <w:pPr>
              <w:pStyle w:val="TableParagraph"/>
              <w:spacing w:line="171" w:lineRule="exact" w:before="79"/>
              <w:ind w:left="7" w:right="0"/>
              <w:rPr>
                <w:rFonts w:ascii="Arial" w:hAnsi="Arial"/>
                <w:b/>
                <w:sz w:val="15"/>
              </w:rPr>
            </w:pPr>
            <w:r>
              <w:rPr>
                <w:rFonts w:ascii="Arial" w:hAnsi="Arial"/>
                <w:b/>
                <w:sz w:val="15"/>
              </w:rPr>
              <w:t>MÁRCIO ROBERTO TENÓRIO DE </w:t>
            </w:r>
            <w:r>
              <w:rPr>
                <w:rFonts w:ascii="Arial" w:hAnsi="Arial"/>
                <w:b/>
                <w:spacing w:val="-2"/>
                <w:sz w:val="15"/>
              </w:rPr>
              <w:t>ALBUQUERQUE</w:t>
            </w:r>
          </w:p>
          <w:p>
            <w:pPr>
              <w:pStyle w:val="TableParagraph"/>
              <w:spacing w:line="171" w:lineRule="exact"/>
              <w:ind w:left="7" w:right="0"/>
              <w:rPr>
                <w:sz w:val="15"/>
              </w:rPr>
            </w:pPr>
            <w:r>
              <w:rPr>
                <w:sz w:val="15"/>
              </w:rPr>
              <w:t>PROCURADOR-GERAL DE </w:t>
            </w:r>
            <w:r>
              <w:rPr>
                <w:spacing w:val="-2"/>
                <w:sz w:val="15"/>
              </w:rPr>
              <w:t>JUSTIÇA</w:t>
            </w:r>
          </w:p>
        </w:tc>
      </w:tr>
      <w:tr>
        <w:trPr>
          <w:trHeight w:val="258" w:hRule="atLeast"/>
        </w:trPr>
        <w:tc>
          <w:tcPr>
            <w:tcW w:w="3461" w:type="dxa"/>
            <w:tcBorders>
              <w:left w:val="single" w:sz="6" w:space="0" w:color="00336A"/>
            </w:tcBorders>
          </w:tcPr>
          <w:p>
            <w:pPr>
              <w:pStyle w:val="TableParagraph"/>
              <w:spacing w:line="153" w:lineRule="exact" w:before="85"/>
              <w:ind w:left="48" w:right="1"/>
              <w:rPr>
                <w:rFonts w:ascii="Arial" w:hAnsi="Arial"/>
                <w:b/>
                <w:sz w:val="15"/>
              </w:rPr>
            </w:pPr>
            <w:r>
              <w:rPr>
                <w:rFonts w:ascii="Arial" w:hAnsi="Arial"/>
                <w:b/>
                <w:sz w:val="15"/>
              </w:rPr>
              <mc:AlternateContent>
                <mc:Choice Requires="wps">
                  <w:drawing>
                    <wp:anchor distT="0" distB="0" distL="0" distR="0" allowOverlap="1" layoutInCell="1" locked="0" behindDoc="1" simplePos="0" relativeHeight="487500288">
                      <wp:simplePos x="0" y="0"/>
                      <wp:positionH relativeFrom="column">
                        <wp:posOffset>0</wp:posOffset>
                      </wp:positionH>
                      <wp:positionV relativeFrom="paragraph">
                        <wp:posOffset>-329947</wp:posOffset>
                      </wp:positionV>
                      <wp:extent cx="6555105" cy="95758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555105" cy="957580"/>
                                <a:chExt cx="6555105" cy="957580"/>
                              </a:xfrm>
                            </wpg:grpSpPr>
                            <wps:wsp>
                              <wps:cNvPr id="8" name="Graphic 8"/>
                              <wps:cNvSpPr/>
                              <wps:spPr>
                                <a:xfrm>
                                  <a:off x="0" y="4762"/>
                                  <a:ext cx="6550025" cy="948055"/>
                                </a:xfrm>
                                <a:custGeom>
                                  <a:avLst/>
                                  <a:gdLst/>
                                  <a:ahLst/>
                                  <a:cxnLst/>
                                  <a:rect l="l" t="t" r="r" b="b"/>
                                  <a:pathLst>
                                    <a:path w="6550025" h="948055">
                                      <a:moveTo>
                                        <a:pt x="0" y="947801"/>
                                      </a:moveTo>
                                      <a:lnTo>
                                        <a:pt x="6550025" y="947801"/>
                                      </a:lnTo>
                                    </a:path>
                                    <a:path w="6550025" h="948055">
                                      <a:moveTo>
                                        <a:pt x="6550025" y="947801"/>
                                      </a:moveTo>
                                      <a:lnTo>
                                        <a:pt x="6550025" y="0"/>
                                      </a:lnTo>
                                    </a:path>
                                    <a:path w="6550025" h="948055">
                                      <a:moveTo>
                                        <a:pt x="6550025" y="0"/>
                                      </a:moveTo>
                                      <a:lnTo>
                                        <a:pt x="0" y="0"/>
                                      </a:lnTo>
                                    </a:path>
                                  </a:pathLst>
                                </a:custGeom>
                                <a:ln w="9525">
                                  <a:solidFill>
                                    <a:srgbClr val="00336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5.980097pt;width:516.15pt;height:75.4pt;mso-position-horizontal-relative:column;mso-position-vertical-relative:paragraph;z-index:-15816192" id="docshapegroup5" coordorigin="0,-520" coordsize="10323,1508">
                      <v:shape style="position:absolute;left:0;top:-513;width:10315;height:1493" id="docshape6" coordorigin="0,-512" coordsize="10315,1493" path="m0,980l10315,980m10315,980l10315,-512m10315,-512l0,-512e" filled="false" stroked="true" strokeweight=".75pt" strokecolor="#00336a">
                        <v:path arrowok="t"/>
                        <v:stroke dashstyle="solid"/>
                      </v:shape>
                      <w10:wrap type="none"/>
                    </v:group>
                  </w:pict>
                </mc:Fallback>
              </mc:AlternateContent>
            </w:r>
            <w:r>
              <w:rPr>
                <w:rFonts w:ascii="Arial" w:hAnsi="Arial"/>
                <w:b/>
                <w:sz w:val="15"/>
              </w:rPr>
              <w:t>LEAN ANTÔNIO FERREIRA DE </w:t>
            </w:r>
            <w:r>
              <w:rPr>
                <w:rFonts w:ascii="Arial" w:hAnsi="Arial"/>
                <w:b/>
                <w:spacing w:val="-2"/>
                <w:sz w:val="15"/>
              </w:rPr>
              <w:t>ARAÚJO</w:t>
            </w:r>
          </w:p>
        </w:tc>
        <w:tc>
          <w:tcPr>
            <w:tcW w:w="3572" w:type="dxa"/>
          </w:tcPr>
          <w:p>
            <w:pPr>
              <w:pStyle w:val="TableParagraph"/>
              <w:spacing w:line="153" w:lineRule="exact" w:before="85"/>
              <w:rPr>
                <w:rFonts w:ascii="Arial" w:hAnsi="Arial"/>
                <w:b/>
                <w:sz w:val="15"/>
              </w:rPr>
            </w:pPr>
            <w:r>
              <w:rPr>
                <w:rFonts w:ascii="Arial" w:hAnsi="Arial"/>
                <w:b/>
                <w:sz w:val="15"/>
              </w:rPr>
              <w:t>SÉRGIO ROCHA CAVALCANTI </w:t>
            </w:r>
            <w:r>
              <w:rPr>
                <w:rFonts w:ascii="Arial" w:hAnsi="Arial"/>
                <w:b/>
                <w:spacing w:val="-4"/>
                <w:sz w:val="15"/>
              </w:rPr>
              <w:t>JUCÁ</w:t>
            </w:r>
          </w:p>
        </w:tc>
        <w:tc>
          <w:tcPr>
            <w:tcW w:w="3282" w:type="dxa"/>
          </w:tcPr>
          <w:p>
            <w:pPr>
              <w:pStyle w:val="TableParagraph"/>
              <w:spacing w:line="153" w:lineRule="exact" w:before="85"/>
              <w:ind w:right="223"/>
              <w:rPr>
                <w:rFonts w:ascii="Arial" w:hAnsi="Arial"/>
                <w:b/>
                <w:sz w:val="15"/>
              </w:rPr>
            </w:pPr>
            <w:r>
              <w:rPr>
                <w:rFonts w:ascii="Arial" w:hAnsi="Arial"/>
                <w:b/>
                <w:sz w:val="15"/>
              </w:rPr>
              <w:t>VALTER JOSÉ DE OMENA </w:t>
            </w:r>
            <w:r>
              <w:rPr>
                <w:rFonts w:ascii="Arial" w:hAnsi="Arial"/>
                <w:b/>
                <w:spacing w:val="-2"/>
                <w:sz w:val="15"/>
              </w:rPr>
              <w:t>ACIOLY</w:t>
            </w:r>
          </w:p>
        </w:tc>
      </w:tr>
      <w:tr>
        <w:trPr>
          <w:trHeight w:val="221" w:hRule="atLeast"/>
        </w:trPr>
        <w:tc>
          <w:tcPr>
            <w:tcW w:w="3461" w:type="dxa"/>
            <w:tcBorders>
              <w:left w:val="single" w:sz="6" w:space="0" w:color="00336A"/>
            </w:tcBorders>
          </w:tcPr>
          <w:p>
            <w:pPr>
              <w:pStyle w:val="TableParagraph"/>
              <w:spacing w:line="168" w:lineRule="exact"/>
              <w:ind w:left="48" w:right="0"/>
              <w:rPr>
                <w:sz w:val="15"/>
              </w:rPr>
            </w:pPr>
            <w:r>
              <w:rPr>
                <w:sz w:val="15"/>
              </w:rPr>
              <w:t>Subprocurador-Geral Administrativo-</w:t>
            </w:r>
            <w:r>
              <w:rPr>
                <w:spacing w:val="-2"/>
                <w:sz w:val="15"/>
              </w:rPr>
              <w:t>Institucional</w:t>
            </w:r>
          </w:p>
        </w:tc>
        <w:tc>
          <w:tcPr>
            <w:tcW w:w="3572" w:type="dxa"/>
          </w:tcPr>
          <w:p>
            <w:pPr>
              <w:pStyle w:val="TableParagraph"/>
              <w:spacing w:line="168" w:lineRule="exact"/>
              <w:ind w:left="1"/>
              <w:rPr>
                <w:sz w:val="15"/>
              </w:rPr>
            </w:pPr>
            <w:r>
              <w:rPr>
                <w:sz w:val="15"/>
              </w:rPr>
              <w:t>Subprocurador-Geral </w:t>
            </w:r>
            <w:r>
              <w:rPr>
                <w:spacing w:val="-2"/>
                <w:sz w:val="15"/>
              </w:rPr>
              <w:t>Judicial</w:t>
            </w:r>
          </w:p>
        </w:tc>
        <w:tc>
          <w:tcPr>
            <w:tcW w:w="3282" w:type="dxa"/>
          </w:tcPr>
          <w:p>
            <w:pPr>
              <w:pStyle w:val="TableParagraph"/>
              <w:spacing w:line="168" w:lineRule="exact"/>
              <w:ind w:right="223"/>
              <w:rPr>
                <w:sz w:val="15"/>
              </w:rPr>
            </w:pPr>
            <w:r>
              <w:rPr>
                <w:sz w:val="15"/>
              </w:rPr>
              <w:t>Subprocurador-Geral </w:t>
            </w:r>
            <w:r>
              <w:rPr>
                <w:spacing w:val="-2"/>
                <w:sz w:val="15"/>
              </w:rPr>
              <w:t>Recursal</w:t>
            </w:r>
          </w:p>
        </w:tc>
      </w:tr>
      <w:tr>
        <w:trPr>
          <w:trHeight w:val="501" w:hRule="atLeast"/>
        </w:trPr>
        <w:tc>
          <w:tcPr>
            <w:tcW w:w="10315" w:type="dxa"/>
            <w:gridSpan w:val="3"/>
            <w:tcBorders>
              <w:left w:val="single" w:sz="6" w:space="0" w:color="00336A"/>
            </w:tcBorders>
          </w:tcPr>
          <w:p>
            <w:pPr>
              <w:pStyle w:val="TableParagraph"/>
              <w:tabs>
                <w:tab w:pos="6632" w:val="left" w:leader="none"/>
              </w:tabs>
              <w:spacing w:line="171" w:lineRule="exact" w:before="48"/>
              <w:ind w:left="1347" w:right="0"/>
              <w:jc w:val="left"/>
              <w:rPr>
                <w:rFonts w:ascii="Arial" w:hAnsi="Arial"/>
                <w:b/>
                <w:sz w:val="15"/>
              </w:rPr>
            </w:pPr>
            <w:r>
              <w:rPr>
                <w:rFonts w:ascii="Arial" w:hAnsi="Arial"/>
                <w:b/>
                <w:sz w:val="15"/>
              </w:rPr>
              <w:t>MAURÍCIO ANDRÉ BARROS </w:t>
            </w:r>
            <w:r>
              <w:rPr>
                <w:rFonts w:ascii="Arial" w:hAnsi="Arial"/>
                <w:b/>
                <w:spacing w:val="-2"/>
                <w:sz w:val="15"/>
              </w:rPr>
              <w:t>PITTA</w:t>
            </w:r>
            <w:r>
              <w:rPr>
                <w:rFonts w:ascii="Arial" w:hAnsi="Arial"/>
                <w:b/>
                <w:sz w:val="15"/>
              </w:rPr>
              <w:tab/>
              <w:t>EDUARDO</w:t>
            </w:r>
            <w:r>
              <w:rPr>
                <w:rFonts w:ascii="Arial" w:hAnsi="Arial"/>
                <w:b/>
                <w:spacing w:val="-2"/>
                <w:sz w:val="15"/>
              </w:rPr>
              <w:t> </w:t>
            </w:r>
            <w:r>
              <w:rPr>
                <w:rFonts w:ascii="Arial" w:hAnsi="Arial"/>
                <w:b/>
                <w:sz w:val="15"/>
              </w:rPr>
              <w:t>TAVARES </w:t>
            </w:r>
            <w:r>
              <w:rPr>
                <w:rFonts w:ascii="Arial" w:hAnsi="Arial"/>
                <w:b/>
                <w:spacing w:val="-2"/>
                <w:sz w:val="15"/>
              </w:rPr>
              <w:t>MENDES</w:t>
            </w:r>
          </w:p>
          <w:p>
            <w:pPr>
              <w:pStyle w:val="TableParagraph"/>
              <w:tabs>
                <w:tab w:pos="6757" w:val="left" w:leader="none"/>
              </w:tabs>
              <w:spacing w:line="171" w:lineRule="exact"/>
              <w:ind w:left="1297" w:right="0"/>
              <w:jc w:val="left"/>
              <w:rPr>
                <w:sz w:val="15"/>
              </w:rPr>
            </w:pPr>
            <w:r>
              <w:rPr>
                <w:sz w:val="15"/>
              </w:rPr>
              <w:t>Corregedor-Geral do Ministério </w:t>
            </w:r>
            <w:r>
              <w:rPr>
                <w:spacing w:val="-2"/>
                <w:sz w:val="15"/>
              </w:rPr>
              <w:t>Público</w:t>
            </w:r>
            <w:r>
              <w:rPr>
                <w:sz w:val="15"/>
              </w:rPr>
              <w:tab/>
              <w:t>Ouvidor do Ministério </w:t>
            </w:r>
            <w:r>
              <w:rPr>
                <w:spacing w:val="-2"/>
                <w:sz w:val="15"/>
              </w:rPr>
              <w:t>Público</w:t>
            </w:r>
          </w:p>
        </w:tc>
      </w:tr>
    </w:tbl>
    <w:p>
      <w:pPr>
        <w:pStyle w:val="BodyText"/>
        <w:spacing w:before="11"/>
        <w:rPr>
          <w:sz w:val="7"/>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1"/>
        <w:gridCol w:w="3572"/>
        <w:gridCol w:w="3282"/>
      </w:tblGrid>
      <w:tr>
        <w:trPr>
          <w:trHeight w:val="344" w:hRule="atLeast"/>
        </w:trPr>
        <w:tc>
          <w:tcPr>
            <w:tcW w:w="3461" w:type="dxa"/>
            <w:vMerge w:val="restart"/>
            <w:tcBorders>
              <w:top w:val="single" w:sz="6" w:space="0" w:color="00336A"/>
              <w:left w:val="single" w:sz="6" w:space="0" w:color="00336A"/>
            </w:tcBorders>
          </w:tcPr>
          <w:p>
            <w:pPr>
              <w:pStyle w:val="TableParagraph"/>
              <w:spacing w:line="240" w:lineRule="auto"/>
              <w:ind w:right="0"/>
              <w:jc w:val="left"/>
              <w:rPr>
                <w:rFonts w:ascii="Times New Roman"/>
                <w:sz w:val="16"/>
              </w:rPr>
            </w:pPr>
          </w:p>
        </w:tc>
        <w:tc>
          <w:tcPr>
            <w:tcW w:w="3572" w:type="dxa"/>
            <w:tcBorders>
              <w:top w:val="single" w:sz="6" w:space="0" w:color="00336A"/>
            </w:tcBorders>
          </w:tcPr>
          <w:p>
            <w:pPr>
              <w:pStyle w:val="TableParagraph"/>
              <w:spacing w:line="168" w:lineRule="exact"/>
              <w:ind w:left="21"/>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left="22"/>
              <w:rPr>
                <w:sz w:val="15"/>
              </w:rPr>
            </w:pPr>
            <w:r>
              <w:rPr>
                <w:sz w:val="15"/>
              </w:rPr>
              <w:t>Márcio Roberto Tenório de </w:t>
            </w:r>
            <w:r>
              <w:rPr>
                <w:spacing w:val="-2"/>
                <w:sz w:val="15"/>
              </w:rPr>
              <w:t>Albuquerque</w:t>
            </w:r>
          </w:p>
        </w:tc>
        <w:tc>
          <w:tcPr>
            <w:tcW w:w="3282" w:type="dxa"/>
            <w:vMerge w:val="restart"/>
            <w:tcBorders>
              <w:top w:val="single" w:sz="6" w:space="0" w:color="00336A"/>
              <w:right w:val="single" w:sz="6" w:space="0" w:color="00336A"/>
            </w:tcBorders>
          </w:tcPr>
          <w:p>
            <w:pPr>
              <w:pStyle w:val="TableParagraph"/>
              <w:spacing w:line="240" w:lineRule="auto"/>
              <w:ind w:right="0"/>
              <w:jc w:val="left"/>
              <w:rPr>
                <w:rFonts w:ascii="Times New Roman"/>
                <w:sz w:val="16"/>
              </w:rPr>
            </w:pPr>
          </w:p>
        </w:tc>
      </w:tr>
      <w:tr>
        <w:trPr>
          <w:trHeight w:val="264" w:hRule="atLeast"/>
        </w:trPr>
        <w:tc>
          <w:tcPr>
            <w:tcW w:w="3461" w:type="dxa"/>
            <w:vMerge/>
            <w:tcBorders>
              <w:top w:val="nil"/>
              <w:left w:val="single" w:sz="6" w:space="0" w:color="00336A"/>
            </w:tcBorders>
          </w:tcPr>
          <w:p>
            <w:pPr>
              <w:rPr>
                <w:sz w:val="2"/>
                <w:szCs w:val="2"/>
              </w:rPr>
            </w:pPr>
          </w:p>
        </w:tc>
        <w:tc>
          <w:tcPr>
            <w:tcW w:w="3572" w:type="dxa"/>
          </w:tcPr>
          <w:p>
            <w:pPr>
              <w:pStyle w:val="TableParagraph"/>
              <w:spacing w:line="240" w:lineRule="auto" w:before="1"/>
              <w:ind w:left="21"/>
              <w:rPr>
                <w:rFonts w:ascii="Arial"/>
                <w:b/>
                <w:sz w:val="15"/>
              </w:rPr>
            </w:pPr>
            <w:r>
              <w:rPr>
                <w:rFonts w:ascii="Arial"/>
                <w:b/>
                <w:spacing w:val="-2"/>
                <w:sz w:val="15"/>
              </w:rPr>
              <w:t>Presidente</w:t>
            </w:r>
          </w:p>
        </w:tc>
        <w:tc>
          <w:tcPr>
            <w:tcW w:w="3282" w:type="dxa"/>
            <w:vMerge/>
            <w:tcBorders>
              <w:top w:val="nil"/>
              <w:right w:val="single" w:sz="6" w:space="0" w:color="00336A"/>
            </w:tcBorders>
          </w:tcPr>
          <w:p>
            <w:pPr>
              <w:rPr>
                <w:sz w:val="2"/>
                <w:szCs w:val="2"/>
              </w:rPr>
            </w:pPr>
          </w:p>
        </w:tc>
      </w:tr>
      <w:tr>
        <w:trPr>
          <w:trHeight w:val="258" w:hRule="atLeast"/>
        </w:trPr>
        <w:tc>
          <w:tcPr>
            <w:tcW w:w="3461" w:type="dxa"/>
            <w:tcBorders>
              <w:left w:val="single" w:sz="6" w:space="0" w:color="00336A"/>
            </w:tcBorders>
          </w:tcPr>
          <w:p>
            <w:pPr>
              <w:pStyle w:val="TableParagraph"/>
              <w:spacing w:line="153" w:lineRule="exact" w:before="85"/>
              <w:ind w:left="48" w:right="23"/>
              <w:rPr>
                <w:sz w:val="15"/>
              </w:rPr>
            </w:pPr>
            <w:r>
              <w:rPr>
                <w:sz w:val="15"/>
              </w:rPr>
              <w:t>Sérgio Rocha Cavalcanti </w:t>
            </w:r>
            <w:r>
              <w:rPr>
                <w:spacing w:val="-4"/>
                <w:sz w:val="15"/>
              </w:rPr>
              <w:t>Jucá</w:t>
            </w:r>
          </w:p>
        </w:tc>
        <w:tc>
          <w:tcPr>
            <w:tcW w:w="3572" w:type="dxa"/>
          </w:tcPr>
          <w:p>
            <w:pPr>
              <w:pStyle w:val="TableParagraph"/>
              <w:spacing w:line="153" w:lineRule="exact" w:before="85"/>
              <w:ind w:left="51"/>
              <w:rPr>
                <w:sz w:val="15"/>
              </w:rPr>
            </w:pPr>
            <w:r>
              <w:rPr>
                <w:sz w:val="15"/>
              </w:rPr>
              <w:t>Walber José Valente de </w:t>
            </w:r>
            <w:r>
              <w:rPr>
                <w:spacing w:val="-4"/>
                <w:sz w:val="15"/>
              </w:rPr>
              <w:t>Lima</w:t>
            </w:r>
          </w:p>
        </w:tc>
        <w:tc>
          <w:tcPr>
            <w:tcW w:w="3282" w:type="dxa"/>
            <w:tcBorders>
              <w:right w:val="single" w:sz="6" w:space="0" w:color="00336A"/>
            </w:tcBorders>
          </w:tcPr>
          <w:p>
            <w:pPr>
              <w:pStyle w:val="TableParagraph"/>
              <w:spacing w:line="153" w:lineRule="exact" w:before="85"/>
              <w:ind w:left="1" w:right="142"/>
              <w:rPr>
                <w:sz w:val="15"/>
              </w:rPr>
            </w:pPr>
            <w:r>
              <w:rPr>
                <w:sz w:val="15"/>
              </w:rPr>
              <w:t>Lean Antônio Ferreira de </w:t>
            </w:r>
            <w:r>
              <w:rPr>
                <w:spacing w:val="-2"/>
                <w:sz w:val="15"/>
              </w:rPr>
              <w:t>Araújo</w:t>
            </w:r>
          </w:p>
        </w:tc>
      </w:tr>
      <w:tr>
        <w:trPr>
          <w:trHeight w:val="168" w:hRule="atLeast"/>
        </w:trPr>
        <w:tc>
          <w:tcPr>
            <w:tcW w:w="3461" w:type="dxa"/>
            <w:tcBorders>
              <w:left w:val="single" w:sz="6" w:space="0" w:color="00336A"/>
            </w:tcBorders>
          </w:tcPr>
          <w:p>
            <w:pPr>
              <w:pStyle w:val="TableParagraph"/>
              <w:ind w:left="48" w:right="23"/>
              <w:rPr>
                <w:sz w:val="15"/>
              </w:rPr>
            </w:pPr>
            <w:r>
              <w:rPr>
                <w:sz w:val="15"/>
              </w:rPr>
              <w:t>Antiógenes Marques de </w:t>
            </w:r>
            <w:r>
              <w:rPr>
                <w:spacing w:val="-4"/>
                <w:sz w:val="15"/>
              </w:rPr>
              <w:t>Lira</w:t>
            </w:r>
          </w:p>
        </w:tc>
        <w:tc>
          <w:tcPr>
            <w:tcW w:w="3572" w:type="dxa"/>
          </w:tcPr>
          <w:p>
            <w:pPr>
              <w:pStyle w:val="TableParagraph"/>
              <w:ind w:left="50"/>
              <w:rPr>
                <w:sz w:val="15"/>
              </w:rPr>
            </w:pPr>
            <w:r>
              <w:rPr>
                <w:sz w:val="15"/>
              </w:rPr>
              <w:t>Dennis Lima </w:t>
            </w:r>
            <w:r>
              <w:rPr>
                <w:spacing w:val="-2"/>
                <w:sz w:val="15"/>
              </w:rPr>
              <w:t>Calheiros</w:t>
            </w:r>
          </w:p>
        </w:tc>
        <w:tc>
          <w:tcPr>
            <w:tcW w:w="3282" w:type="dxa"/>
            <w:tcBorders>
              <w:right w:val="single" w:sz="6" w:space="0" w:color="00336A"/>
            </w:tcBorders>
          </w:tcPr>
          <w:p>
            <w:pPr>
              <w:pStyle w:val="TableParagraph"/>
              <w:ind w:left="1" w:right="142"/>
              <w:rPr>
                <w:sz w:val="15"/>
              </w:rPr>
            </w:pPr>
            <w:r>
              <w:rPr>
                <w:sz w:val="15"/>
              </w:rPr>
              <w:t>Vicente Felix </w:t>
            </w:r>
            <w:r>
              <w:rPr>
                <w:spacing w:val="-2"/>
                <w:sz w:val="15"/>
              </w:rPr>
              <w:t>Correia</w:t>
            </w:r>
          </w:p>
        </w:tc>
      </w:tr>
      <w:tr>
        <w:trPr>
          <w:trHeight w:val="168" w:hRule="atLeast"/>
        </w:trPr>
        <w:tc>
          <w:tcPr>
            <w:tcW w:w="3461" w:type="dxa"/>
            <w:tcBorders>
              <w:left w:val="single" w:sz="6" w:space="0" w:color="00336A"/>
            </w:tcBorders>
          </w:tcPr>
          <w:p>
            <w:pPr>
              <w:pStyle w:val="TableParagraph"/>
              <w:ind w:left="48" w:right="24"/>
              <w:rPr>
                <w:sz w:val="15"/>
              </w:rPr>
            </w:pPr>
            <w:r>
              <w:rPr>
                <w:sz w:val="15"/>
              </w:rPr>
              <w:t>Eduardo Tavares </w:t>
            </w:r>
            <w:r>
              <w:rPr>
                <w:spacing w:val="-2"/>
                <w:sz w:val="15"/>
              </w:rPr>
              <w:t>Mendes</w:t>
            </w:r>
          </w:p>
        </w:tc>
        <w:tc>
          <w:tcPr>
            <w:tcW w:w="3572" w:type="dxa"/>
          </w:tcPr>
          <w:p>
            <w:pPr>
              <w:pStyle w:val="TableParagraph"/>
              <w:ind w:left="52"/>
              <w:rPr>
                <w:sz w:val="15"/>
              </w:rPr>
            </w:pPr>
            <w:r>
              <w:rPr>
                <w:sz w:val="15"/>
              </w:rPr>
              <w:t>Márcio Roberto Tenório de </w:t>
            </w:r>
            <w:r>
              <w:rPr>
                <w:spacing w:val="-2"/>
                <w:sz w:val="15"/>
              </w:rPr>
              <w:t>Albuquerque</w:t>
            </w:r>
          </w:p>
        </w:tc>
        <w:tc>
          <w:tcPr>
            <w:tcW w:w="3282" w:type="dxa"/>
            <w:tcBorders>
              <w:right w:val="single" w:sz="6" w:space="0" w:color="00336A"/>
            </w:tcBorders>
          </w:tcPr>
          <w:p>
            <w:pPr>
              <w:pStyle w:val="TableParagraph"/>
              <w:ind w:right="142"/>
              <w:rPr>
                <w:sz w:val="15"/>
              </w:rPr>
            </w:pPr>
            <w:r>
              <w:rPr>
                <w:sz w:val="15"/>
              </w:rPr>
              <w:t>Marcos Barros </w:t>
            </w:r>
            <w:r>
              <w:rPr>
                <w:spacing w:val="-4"/>
                <w:sz w:val="15"/>
              </w:rPr>
              <w:t>Méro</w:t>
            </w:r>
          </w:p>
        </w:tc>
      </w:tr>
      <w:tr>
        <w:trPr>
          <w:trHeight w:val="168" w:hRule="atLeast"/>
        </w:trPr>
        <w:tc>
          <w:tcPr>
            <w:tcW w:w="3461" w:type="dxa"/>
            <w:tcBorders>
              <w:left w:val="single" w:sz="6" w:space="0" w:color="00336A"/>
            </w:tcBorders>
          </w:tcPr>
          <w:p>
            <w:pPr>
              <w:pStyle w:val="TableParagraph"/>
              <w:ind w:left="48" w:right="24"/>
              <w:rPr>
                <w:sz w:val="15"/>
              </w:rPr>
            </w:pPr>
            <w:r>
              <w:rPr>
                <w:sz w:val="15"/>
              </w:rPr>
              <w:t>Valter José de Omena </w:t>
            </w:r>
            <w:r>
              <w:rPr>
                <w:spacing w:val="-2"/>
                <w:sz w:val="15"/>
              </w:rPr>
              <w:t>Acioly</w:t>
            </w:r>
          </w:p>
        </w:tc>
        <w:tc>
          <w:tcPr>
            <w:tcW w:w="3572" w:type="dxa"/>
          </w:tcPr>
          <w:p>
            <w:pPr>
              <w:pStyle w:val="TableParagraph"/>
              <w:ind w:left="52"/>
              <w:rPr>
                <w:sz w:val="15"/>
              </w:rPr>
            </w:pPr>
            <w:r>
              <w:rPr>
                <w:sz w:val="15"/>
              </w:rPr>
              <w:t>Denise Guimarães de </w:t>
            </w:r>
            <w:r>
              <w:rPr>
                <w:spacing w:val="-2"/>
                <w:sz w:val="15"/>
              </w:rPr>
              <w:t>Oliveira</w:t>
            </w:r>
          </w:p>
        </w:tc>
        <w:tc>
          <w:tcPr>
            <w:tcW w:w="3282" w:type="dxa"/>
            <w:tcBorders>
              <w:right w:val="single" w:sz="6" w:space="0" w:color="00336A"/>
            </w:tcBorders>
          </w:tcPr>
          <w:p>
            <w:pPr>
              <w:pStyle w:val="TableParagraph"/>
              <w:ind w:left="1" w:right="142"/>
              <w:rPr>
                <w:sz w:val="15"/>
              </w:rPr>
            </w:pPr>
            <w:r>
              <w:rPr>
                <w:sz w:val="15"/>
              </w:rPr>
              <w:t>Maurício André Barros </w:t>
            </w:r>
            <w:r>
              <w:rPr>
                <w:spacing w:val="-2"/>
                <w:sz w:val="15"/>
              </w:rPr>
              <w:t>Pitta</w:t>
            </w:r>
          </w:p>
        </w:tc>
      </w:tr>
      <w:tr>
        <w:trPr>
          <w:trHeight w:val="366" w:hRule="atLeast"/>
        </w:trPr>
        <w:tc>
          <w:tcPr>
            <w:tcW w:w="3461" w:type="dxa"/>
            <w:tcBorders>
              <w:left w:val="single" w:sz="6" w:space="0" w:color="00336A"/>
              <w:bottom w:val="single" w:sz="6" w:space="0" w:color="00336A"/>
            </w:tcBorders>
          </w:tcPr>
          <w:p>
            <w:pPr>
              <w:pStyle w:val="TableParagraph"/>
              <w:spacing w:line="235" w:lineRule="auto"/>
              <w:ind w:left="726" w:right="699" w:firstLine="387"/>
              <w:jc w:val="left"/>
              <w:rPr>
                <w:sz w:val="15"/>
              </w:rPr>
            </w:pPr>
            <w:r>
              <w:rPr>
                <w:sz w:val="15"/>
              </w:rPr>
              <w:t>Isaac Sandes Dias</w:t>
            </w:r>
            <w:r>
              <w:rPr>
                <w:spacing w:val="40"/>
                <w:sz w:val="15"/>
              </w:rPr>
              <w:t> </w:t>
            </w:r>
            <w:r>
              <w:rPr>
                <w:sz w:val="15"/>
              </w:rPr>
              <w:t>Maria</w:t>
            </w:r>
            <w:r>
              <w:rPr>
                <w:spacing w:val="-11"/>
                <w:sz w:val="15"/>
              </w:rPr>
              <w:t> </w:t>
            </w:r>
            <w:r>
              <w:rPr>
                <w:sz w:val="15"/>
              </w:rPr>
              <w:t>Marluce</w:t>
            </w:r>
            <w:r>
              <w:rPr>
                <w:spacing w:val="-10"/>
                <w:sz w:val="15"/>
              </w:rPr>
              <w:t> </w:t>
            </w:r>
            <w:r>
              <w:rPr>
                <w:sz w:val="15"/>
              </w:rPr>
              <w:t>Caldas</w:t>
            </w:r>
            <w:r>
              <w:rPr>
                <w:spacing w:val="-11"/>
                <w:sz w:val="15"/>
              </w:rPr>
              <w:t> </w:t>
            </w:r>
            <w:r>
              <w:rPr>
                <w:sz w:val="15"/>
              </w:rPr>
              <w:t>Bezerra</w:t>
            </w:r>
          </w:p>
        </w:tc>
        <w:tc>
          <w:tcPr>
            <w:tcW w:w="3572" w:type="dxa"/>
            <w:tcBorders>
              <w:bottom w:val="single" w:sz="6" w:space="0" w:color="00336A"/>
            </w:tcBorders>
          </w:tcPr>
          <w:p>
            <w:pPr>
              <w:pStyle w:val="TableParagraph"/>
              <w:spacing w:line="166" w:lineRule="exact"/>
              <w:ind w:left="51"/>
              <w:rPr>
                <w:sz w:val="15"/>
              </w:rPr>
            </w:pPr>
            <w:r>
              <w:rPr>
                <w:sz w:val="15"/>
              </w:rPr>
              <w:t>Sérgio Amaral </w:t>
            </w:r>
            <w:r>
              <w:rPr>
                <w:spacing w:val="-2"/>
                <w:sz w:val="15"/>
              </w:rPr>
              <w:t>Scala</w:t>
            </w:r>
          </w:p>
          <w:p>
            <w:pPr>
              <w:pStyle w:val="TableParagraph"/>
              <w:spacing w:line="171" w:lineRule="exact"/>
              <w:ind w:left="52"/>
              <w:rPr>
                <w:sz w:val="15"/>
              </w:rPr>
            </w:pPr>
            <w:r>
              <w:rPr>
                <w:sz w:val="15"/>
              </w:rPr>
              <w:t>Kícia Oliveira Cabral de </w:t>
            </w:r>
            <w:r>
              <w:rPr>
                <w:spacing w:val="-2"/>
                <w:sz w:val="15"/>
              </w:rPr>
              <w:t>Vasconcellos</w:t>
            </w:r>
          </w:p>
        </w:tc>
        <w:tc>
          <w:tcPr>
            <w:tcW w:w="3282" w:type="dxa"/>
            <w:tcBorders>
              <w:bottom w:val="single" w:sz="6" w:space="0" w:color="00336A"/>
              <w:right w:val="single" w:sz="6" w:space="0" w:color="00336A"/>
            </w:tcBorders>
          </w:tcPr>
          <w:p>
            <w:pPr>
              <w:pStyle w:val="TableParagraph"/>
              <w:spacing w:line="168" w:lineRule="exact"/>
              <w:ind w:left="1" w:right="142"/>
              <w:rPr>
                <w:sz w:val="15"/>
              </w:rPr>
            </w:pPr>
            <w:r>
              <w:rPr>
                <w:sz w:val="15"/>
              </w:rPr>
              <w:t>Helder de Arthur Jucá </w:t>
            </w:r>
            <w:r>
              <w:rPr>
                <w:spacing w:val="-2"/>
                <w:sz w:val="15"/>
              </w:rPr>
              <w:t>Filho</w:t>
            </w:r>
          </w:p>
        </w:tc>
      </w:tr>
    </w:tbl>
    <w:p>
      <w:pPr>
        <w:pStyle w:val="BodyText"/>
        <w:rPr>
          <w:sz w:val="20"/>
        </w:rPr>
      </w:pPr>
    </w:p>
    <w:p>
      <w:pPr>
        <w:pStyle w:val="BodyText"/>
        <w:spacing w:before="73"/>
        <w:rPr>
          <w:sz w:val="20"/>
        </w:rPr>
      </w:pPr>
      <w:r>
        <w:rPr>
          <w:sz w:val="20"/>
        </w:rPr>
        <mc:AlternateContent>
          <mc:Choice Requires="wps">
            <w:drawing>
              <wp:anchor distT="0" distB="0" distL="0" distR="0" allowOverlap="1" layoutInCell="1" locked="0" behindDoc="1" simplePos="0" relativeHeight="487588352">
                <wp:simplePos x="0" y="0"/>
                <wp:positionH relativeFrom="page">
                  <wp:posOffset>1816100</wp:posOffset>
                </wp:positionH>
                <wp:positionV relativeFrom="paragraph">
                  <wp:posOffset>207911</wp:posOffset>
                </wp:positionV>
                <wp:extent cx="39243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370977pt;width:309pt;height:.1pt;mso-position-horizontal-relative:page;mso-position-vertical-relative:paragraph;z-index:-15728128;mso-wrap-distance-left:0;mso-wrap-distance-right:0" id="docshape7" coordorigin="2860,327" coordsize="6180,0" path="m2860,327l9040,327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rPr>
          <w:rFonts w:ascii="Arial"/>
          <w:b/>
          <w:sz w:val="3"/>
        </w:rPr>
      </w:pPr>
      <w:r>
        <w:rPr>
          <w:rFonts w:ascii="Arial"/>
          <w:b/>
          <w:sz w:val="3"/>
        </w:rPr>
        <mc:AlternateContent>
          <mc:Choice Requires="wps">
            <w:drawing>
              <wp:anchor distT="0" distB="0" distL="0" distR="0" allowOverlap="1" layoutInCell="1" locked="0" behindDoc="1" simplePos="0" relativeHeight="487588864">
                <wp:simplePos x="0" y="0"/>
                <wp:positionH relativeFrom="page">
                  <wp:posOffset>1816100</wp:posOffset>
                </wp:positionH>
                <wp:positionV relativeFrom="paragraph">
                  <wp:posOffset>43956</wp:posOffset>
                </wp:positionV>
                <wp:extent cx="39243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61172pt;width:309pt;height:.1pt;mso-position-horizontal-relative:page;mso-position-vertical-relative:paragraph;z-index:-15727616;mso-wrap-distance-left:0;mso-wrap-distance-right:0" id="docshape8" coordorigin="2860,69" coordsize="6180,0" path="m2860,69l9040,69e" filled="false" stroked="true" strokeweight="1.5pt" strokecolor="#777777">
                <v:path arrowok="t"/>
                <v:stroke dashstyle="solid"/>
                <w10:wrap type="topAndBottom"/>
              </v:shape>
            </w:pict>
          </mc:Fallback>
        </mc:AlternateContent>
      </w:r>
    </w:p>
    <w:p>
      <w:pPr>
        <w:spacing w:before="152"/>
        <w:ind w:left="0" w:right="0" w:firstLine="0"/>
        <w:jc w:val="center"/>
        <w:rPr>
          <w:rFonts w:ascii="Arial"/>
          <w:b/>
          <w:sz w:val="18"/>
        </w:rPr>
      </w:pPr>
      <w:r>
        <w:rPr>
          <w:rFonts w:ascii="Arial"/>
          <w:b/>
          <w:spacing w:val="-4"/>
          <w:sz w:val="18"/>
        </w:rPr>
        <w:t>Atos</w:t>
      </w:r>
    </w:p>
    <w:p>
      <w:pPr>
        <w:pStyle w:val="BodyText"/>
        <w:spacing w:before="41"/>
        <w:rPr>
          <w:rFonts w:ascii="Arial"/>
          <w:b/>
        </w:rPr>
      </w:pPr>
    </w:p>
    <w:p>
      <w:pPr>
        <w:pStyle w:val="BodyText"/>
        <w:ind w:left="234"/>
      </w:pPr>
      <w:r>
        <w:rPr/>
        <w:t>ATO PGJ Nº </w:t>
      </w:r>
      <w:r>
        <w:rPr>
          <w:spacing w:val="-2"/>
        </w:rPr>
        <w:t>02/2023</w:t>
      </w:r>
    </w:p>
    <w:p>
      <w:pPr>
        <w:pStyle w:val="BodyText"/>
        <w:spacing w:before="18"/>
      </w:pPr>
    </w:p>
    <w:p>
      <w:pPr>
        <w:pStyle w:val="BodyText"/>
        <w:ind w:left="234"/>
        <w:jc w:val="both"/>
      </w:pPr>
      <w:r>
        <w:rPr/>
        <w:t>Altera o ato PGJ nº 2/2018, de 23 de março de </w:t>
      </w:r>
      <w:r>
        <w:rPr>
          <w:spacing w:val="-2"/>
        </w:rPr>
        <w:t>2018.</w:t>
      </w:r>
    </w:p>
    <w:p>
      <w:pPr>
        <w:pStyle w:val="BodyText"/>
        <w:spacing w:before="18"/>
      </w:pPr>
    </w:p>
    <w:p>
      <w:pPr>
        <w:pStyle w:val="BodyText"/>
        <w:spacing w:line="501" w:lineRule="auto"/>
        <w:ind w:left="234" w:right="300"/>
        <w:jc w:val="both"/>
      </w:pPr>
      <w:r>
        <w:rPr/>
        <w:t>O</w:t>
      </w:r>
      <w:r>
        <w:rPr>
          <w:spacing w:val="-3"/>
        </w:rPr>
        <w:t> </w:t>
      </w:r>
      <w:r>
        <w:rPr/>
        <w:t>PROCURADOR-GERAL</w:t>
      </w:r>
      <w:r>
        <w:rPr>
          <w:spacing w:val="-3"/>
        </w:rPr>
        <w:t> </w:t>
      </w:r>
      <w:r>
        <w:rPr/>
        <w:t>DE</w:t>
      </w:r>
      <w:r>
        <w:rPr>
          <w:spacing w:val="-3"/>
        </w:rPr>
        <w:t> </w:t>
      </w:r>
      <w:r>
        <w:rPr/>
        <w:t>JUSTIÇA,</w:t>
      </w:r>
      <w:r>
        <w:rPr>
          <w:spacing w:val="-3"/>
        </w:rPr>
        <w:t> </w:t>
      </w:r>
      <w:r>
        <w:rPr/>
        <w:t>no</w:t>
      </w:r>
      <w:r>
        <w:rPr>
          <w:spacing w:val="-3"/>
        </w:rPr>
        <w:t> </w:t>
      </w:r>
      <w:r>
        <w:rPr/>
        <w:t>uso</w:t>
      </w:r>
      <w:r>
        <w:rPr>
          <w:spacing w:val="-3"/>
        </w:rPr>
        <w:t> </w:t>
      </w:r>
      <w:r>
        <w:rPr/>
        <w:t>das</w:t>
      </w:r>
      <w:r>
        <w:rPr>
          <w:spacing w:val="-3"/>
        </w:rPr>
        <w:t> </w:t>
      </w:r>
      <w:r>
        <w:rPr/>
        <w:t>atribuições</w:t>
      </w:r>
      <w:r>
        <w:rPr>
          <w:spacing w:val="-3"/>
        </w:rPr>
        <w:t> </w:t>
      </w:r>
      <w:r>
        <w:rPr/>
        <w:t>previstas</w:t>
      </w:r>
      <w:r>
        <w:rPr>
          <w:spacing w:val="-3"/>
        </w:rPr>
        <w:t> </w:t>
      </w:r>
      <w:r>
        <w:rPr/>
        <w:t>no</w:t>
      </w:r>
      <w:r>
        <w:rPr>
          <w:spacing w:val="-3"/>
        </w:rPr>
        <w:t> </w:t>
      </w:r>
      <w:r>
        <w:rPr/>
        <w:t>art.</w:t>
      </w:r>
      <w:r>
        <w:rPr>
          <w:spacing w:val="-3"/>
        </w:rPr>
        <w:t> </w:t>
      </w:r>
      <w:r>
        <w:rPr/>
        <w:t>9°,</w:t>
      </w:r>
      <w:r>
        <w:rPr>
          <w:spacing w:val="-3"/>
        </w:rPr>
        <w:t> </w:t>
      </w:r>
      <w:r>
        <w:rPr/>
        <w:t>inciso</w:t>
      </w:r>
      <w:r>
        <w:rPr>
          <w:spacing w:val="-3"/>
        </w:rPr>
        <w:t> </w:t>
      </w:r>
      <w:r>
        <w:rPr/>
        <w:t>V,</w:t>
      </w:r>
      <w:r>
        <w:rPr>
          <w:spacing w:val="-3"/>
        </w:rPr>
        <w:t> </w:t>
      </w:r>
      <w:r>
        <w:rPr/>
        <w:t>da</w:t>
      </w:r>
      <w:r>
        <w:rPr>
          <w:spacing w:val="-3"/>
        </w:rPr>
        <w:t> </w:t>
      </w:r>
      <w:r>
        <w:rPr/>
        <w:t>Lei</w:t>
      </w:r>
      <w:r>
        <w:rPr>
          <w:spacing w:val="-3"/>
        </w:rPr>
        <w:t> </w:t>
      </w:r>
      <w:r>
        <w:rPr/>
        <w:t>Complementar</w:t>
      </w:r>
      <w:r>
        <w:rPr>
          <w:spacing w:val="-3"/>
        </w:rPr>
        <w:t> </w:t>
      </w:r>
      <w:r>
        <w:rPr/>
        <w:t>nº</w:t>
      </w:r>
      <w:r>
        <w:rPr>
          <w:spacing w:val="-3"/>
        </w:rPr>
        <w:t> </w:t>
      </w:r>
      <w:r>
        <w:rPr/>
        <w:t>15/1996; </w:t>
      </w:r>
      <w:r>
        <w:rPr>
          <w:spacing w:val="-2"/>
        </w:rPr>
        <w:t>RESOLVE:</w:t>
      </w:r>
    </w:p>
    <w:p>
      <w:pPr>
        <w:pStyle w:val="BodyText"/>
        <w:spacing w:line="501" w:lineRule="auto"/>
        <w:ind w:left="234" w:right="5904"/>
      </w:pPr>
      <w:r>
        <w:rPr/>
        <w:t>Art. 1º. Fica revogado o Art. 2º do Ato PGJ nº 02/2018. Art.</w:t>
      </w:r>
      <w:r>
        <w:rPr>
          <w:spacing w:val="-4"/>
        </w:rPr>
        <w:t> </w:t>
      </w:r>
      <w:r>
        <w:rPr/>
        <w:t>2º</w:t>
      </w:r>
      <w:r>
        <w:rPr>
          <w:spacing w:val="-4"/>
        </w:rPr>
        <w:t> </w:t>
      </w:r>
      <w:r>
        <w:rPr/>
        <w:t>Este</w:t>
      </w:r>
      <w:r>
        <w:rPr>
          <w:spacing w:val="-4"/>
        </w:rPr>
        <w:t> </w:t>
      </w:r>
      <w:r>
        <w:rPr/>
        <w:t>ato</w:t>
      </w:r>
      <w:r>
        <w:rPr>
          <w:spacing w:val="-4"/>
        </w:rPr>
        <w:t> </w:t>
      </w:r>
      <w:r>
        <w:rPr/>
        <w:t>entra</w:t>
      </w:r>
      <w:r>
        <w:rPr>
          <w:spacing w:val="-4"/>
        </w:rPr>
        <w:t> </w:t>
      </w:r>
      <w:r>
        <w:rPr/>
        <w:t>em</w:t>
      </w:r>
      <w:r>
        <w:rPr>
          <w:spacing w:val="-4"/>
        </w:rPr>
        <w:t> </w:t>
      </w:r>
      <w:r>
        <w:rPr/>
        <w:t>vigor</w:t>
      </w:r>
      <w:r>
        <w:rPr>
          <w:spacing w:val="-4"/>
        </w:rPr>
        <w:t> </w:t>
      </w:r>
      <w:r>
        <w:rPr/>
        <w:t>na</w:t>
      </w:r>
      <w:r>
        <w:rPr>
          <w:spacing w:val="-4"/>
        </w:rPr>
        <w:t> </w:t>
      </w:r>
      <w:r>
        <w:rPr/>
        <w:t>data</w:t>
      </w:r>
      <w:r>
        <w:rPr>
          <w:spacing w:val="-4"/>
        </w:rPr>
        <w:t> </w:t>
      </w:r>
      <w:r>
        <w:rPr/>
        <w:t>de</w:t>
      </w:r>
      <w:r>
        <w:rPr>
          <w:spacing w:val="-4"/>
        </w:rPr>
        <w:t> </w:t>
      </w:r>
      <w:r>
        <w:rPr/>
        <w:t>sua</w:t>
      </w:r>
      <w:r>
        <w:rPr>
          <w:spacing w:val="-4"/>
        </w:rPr>
        <w:t> </w:t>
      </w:r>
      <w:r>
        <w:rPr/>
        <w:t>publicação.</w:t>
      </w:r>
    </w:p>
    <w:p>
      <w:pPr>
        <w:pStyle w:val="BodyText"/>
        <w:spacing w:line="206" w:lineRule="exact"/>
        <w:ind w:left="234"/>
        <w:jc w:val="both"/>
      </w:pPr>
      <w:r>
        <w:rPr/>
        <w:t>Publique-se, registre-se e cumpra-</w:t>
      </w:r>
      <w:r>
        <w:rPr>
          <w:spacing w:val="-5"/>
        </w:rPr>
        <w:t>se.</w:t>
      </w:r>
    </w:p>
    <w:p>
      <w:pPr>
        <w:pStyle w:val="BodyText"/>
        <w:spacing w:before="8"/>
        <w:ind w:left="234"/>
        <w:jc w:val="both"/>
      </w:pPr>
      <w:r>
        <w:rPr/>
        <w:t>Gabinete do Procurador-Geral de Justiça, em Maceió, 23 de fevereiro de </w:t>
      </w:r>
      <w:r>
        <w:rPr>
          <w:spacing w:val="-2"/>
        </w:rPr>
        <w:t>2023.</w:t>
      </w:r>
    </w:p>
    <w:p>
      <w:pPr>
        <w:pStyle w:val="BodyText"/>
      </w:pPr>
    </w:p>
    <w:p>
      <w:pPr>
        <w:pStyle w:val="BodyText"/>
        <w:spacing w:before="27"/>
      </w:pPr>
    </w:p>
    <w:p>
      <w:pPr>
        <w:pStyle w:val="BodyText"/>
        <w:ind w:left="234"/>
      </w:pPr>
      <w:r>
        <w:rPr/>
        <w:t>MÁRCIO ROBERTO TENÓRIO DE </w:t>
      </w:r>
      <w:r>
        <w:rPr>
          <w:spacing w:val="-2"/>
        </w:rPr>
        <w:t>ALBUQUERQUE</w:t>
      </w:r>
    </w:p>
    <w:p>
      <w:pPr>
        <w:pStyle w:val="BodyText"/>
        <w:spacing w:before="9"/>
        <w:ind w:left="234"/>
        <w:jc w:val="both"/>
      </w:pPr>
      <w:r>
        <w:rPr/>
        <w:t>Procurador-Geral de </w:t>
      </w:r>
      <w:r>
        <w:rPr>
          <w:spacing w:val="-2"/>
        </w:rPr>
        <w:t>Justiça</w:t>
      </w:r>
    </w:p>
    <w:p>
      <w:pPr>
        <w:pStyle w:val="BodyText"/>
      </w:pPr>
    </w:p>
    <w:p>
      <w:pPr>
        <w:pStyle w:val="BodyText"/>
      </w:pPr>
    </w:p>
    <w:p>
      <w:pPr>
        <w:pStyle w:val="BodyText"/>
        <w:spacing w:before="36"/>
      </w:pPr>
    </w:p>
    <w:p>
      <w:pPr>
        <w:pStyle w:val="BodyText"/>
        <w:ind w:left="234"/>
      </w:pPr>
      <w:r>
        <w:rPr/>
        <w:t>ATO DE EXONERAÇÃO Nº </w:t>
      </w:r>
      <w:r>
        <w:rPr>
          <w:spacing w:val="-2"/>
        </w:rPr>
        <w:t>07/2023</w:t>
      </w:r>
    </w:p>
    <w:p>
      <w:pPr>
        <w:pStyle w:val="BodyText"/>
        <w:spacing w:before="18"/>
      </w:pPr>
    </w:p>
    <w:p>
      <w:pPr>
        <w:pStyle w:val="BodyText"/>
        <w:spacing w:line="249" w:lineRule="auto"/>
        <w:ind w:left="234" w:right="210"/>
        <w:jc w:val="both"/>
      </w:pPr>
      <w:r>
        <w:rPr/>
        <w:t>O PROCURADOR-GERAL DE JUSTIÇA DO ESTADO DE ALAGOAS, no uso de suas atribuições legais, especialmente as que lhe são conferidas pelo inciso VII do art. 9º da Lei Complementar Estadual nº 15, de 22 de novembro de 1996, resolve exonerar, a</w:t>
      </w:r>
      <w:r>
        <w:rPr>
          <w:spacing w:val="-1"/>
        </w:rPr>
        <w:t> </w:t>
      </w:r>
      <w:r>
        <w:rPr/>
        <w:t>pedido,</w:t>
      </w:r>
      <w:r>
        <w:rPr>
          <w:spacing w:val="-1"/>
        </w:rPr>
        <w:t> </w:t>
      </w:r>
      <w:r>
        <w:rPr/>
        <w:t>AMANDA</w:t>
      </w:r>
      <w:r>
        <w:rPr>
          <w:spacing w:val="-1"/>
        </w:rPr>
        <w:t> </w:t>
      </w:r>
      <w:r>
        <w:rPr/>
        <w:t>SOARES</w:t>
      </w:r>
      <w:r>
        <w:rPr>
          <w:spacing w:val="-1"/>
        </w:rPr>
        <w:t> </w:t>
      </w:r>
      <w:r>
        <w:rPr/>
        <w:t>LAMENHA,</w:t>
      </w:r>
      <w:r>
        <w:rPr>
          <w:spacing w:val="-1"/>
        </w:rPr>
        <w:t> </w:t>
      </w:r>
      <w:r>
        <w:rPr/>
        <w:t>do</w:t>
      </w:r>
      <w:r>
        <w:rPr>
          <w:spacing w:val="-1"/>
        </w:rPr>
        <w:t> </w:t>
      </w:r>
      <w:r>
        <w:rPr/>
        <w:t>cargo</w:t>
      </w:r>
      <w:r>
        <w:rPr>
          <w:spacing w:val="-1"/>
        </w:rPr>
        <w:t> </w:t>
      </w:r>
      <w:r>
        <w:rPr/>
        <w:t>de</w:t>
      </w:r>
      <w:r>
        <w:rPr>
          <w:spacing w:val="-1"/>
        </w:rPr>
        <w:t> </w:t>
      </w:r>
      <w:r>
        <w:rPr/>
        <w:t>provimento</w:t>
      </w:r>
      <w:r>
        <w:rPr>
          <w:spacing w:val="-1"/>
        </w:rPr>
        <w:t> </w:t>
      </w:r>
      <w:r>
        <w:rPr/>
        <w:t>em</w:t>
      </w:r>
      <w:r>
        <w:rPr>
          <w:spacing w:val="-1"/>
        </w:rPr>
        <w:t> </w:t>
      </w:r>
      <w:r>
        <w:rPr/>
        <w:t>comissão,</w:t>
      </w:r>
      <w:r>
        <w:rPr>
          <w:spacing w:val="-1"/>
        </w:rPr>
        <w:t> </w:t>
      </w:r>
      <w:r>
        <w:rPr/>
        <w:t>de</w:t>
      </w:r>
      <w:r>
        <w:rPr>
          <w:spacing w:val="-1"/>
        </w:rPr>
        <w:t> </w:t>
      </w:r>
      <w:r>
        <w:rPr/>
        <w:t>Assessor</w:t>
      </w:r>
      <w:r>
        <w:rPr>
          <w:spacing w:val="-1"/>
        </w:rPr>
        <w:t> </w:t>
      </w:r>
      <w:r>
        <w:rPr/>
        <w:t>de</w:t>
      </w:r>
      <w:r>
        <w:rPr>
          <w:spacing w:val="-1"/>
        </w:rPr>
        <w:t> </w:t>
      </w:r>
      <w:r>
        <w:rPr/>
        <w:t>Procurador</w:t>
      </w:r>
      <w:r>
        <w:rPr>
          <w:spacing w:val="-1"/>
        </w:rPr>
        <w:t> </w:t>
      </w:r>
      <w:r>
        <w:rPr/>
        <w:t>de</w:t>
      </w:r>
      <w:r>
        <w:rPr>
          <w:spacing w:val="-1"/>
        </w:rPr>
        <w:t> </w:t>
      </w:r>
      <w:r>
        <w:rPr/>
        <w:t>Justiça,</w:t>
      </w:r>
      <w:r>
        <w:rPr>
          <w:spacing w:val="-1"/>
        </w:rPr>
        <w:t> </w:t>
      </w:r>
      <w:r>
        <w:rPr/>
        <w:t>Símbolo AS-1, do Quadro de Serviços Auxiliares de Apoio Técnico e Administrativo do Ministério Público.</w:t>
      </w:r>
    </w:p>
    <w:p>
      <w:pPr>
        <w:pStyle w:val="BodyText"/>
        <w:spacing w:before="3"/>
        <w:ind w:left="234"/>
        <w:jc w:val="both"/>
      </w:pPr>
      <w:r>
        <w:rPr/>
        <w:t>Procuradoria-Geral de Justiça, em Maceió, 23 de fevereiro de </w:t>
      </w:r>
      <w:r>
        <w:rPr>
          <w:spacing w:val="-2"/>
        </w:rPr>
        <w:t>2023.</w:t>
      </w:r>
    </w:p>
    <w:p>
      <w:pPr>
        <w:pStyle w:val="BodyText"/>
        <w:spacing w:before="18"/>
      </w:pPr>
    </w:p>
    <w:p>
      <w:pPr>
        <w:pStyle w:val="BodyText"/>
        <w:ind w:left="234"/>
      </w:pPr>
      <w:r>
        <w:rPr/>
        <w:t>MÁRCIO ROBERTO TENÓRIO DE </w:t>
      </w:r>
      <w:r>
        <w:rPr>
          <w:spacing w:val="-2"/>
        </w:rPr>
        <w:t>ALBUQUERQUE</w:t>
      </w:r>
    </w:p>
    <w:p>
      <w:pPr>
        <w:pStyle w:val="BodyText"/>
        <w:spacing w:before="9"/>
        <w:ind w:left="234"/>
        <w:jc w:val="both"/>
      </w:pPr>
      <w:r>
        <w:rPr/>
        <w:t>Procurador-Geral de </w:t>
      </w:r>
      <w:r>
        <w:rPr>
          <w:spacing w:val="-2"/>
        </w:rPr>
        <w:t>Justiça</w:t>
      </w:r>
    </w:p>
    <w:p>
      <w:pPr>
        <w:pStyle w:val="BodyText"/>
      </w:pPr>
    </w:p>
    <w:p>
      <w:pPr>
        <w:pStyle w:val="BodyText"/>
        <w:spacing w:before="27"/>
      </w:pPr>
    </w:p>
    <w:p>
      <w:pPr>
        <w:pStyle w:val="BodyText"/>
        <w:ind w:left="234"/>
      </w:pPr>
      <w:r>
        <w:rPr/>
        <w:t>ATO DE EXONERAÇÃO Nº </w:t>
      </w:r>
      <w:r>
        <w:rPr>
          <w:spacing w:val="-2"/>
        </w:rPr>
        <w:t>08/2023</w:t>
      </w:r>
    </w:p>
    <w:p>
      <w:pPr>
        <w:pStyle w:val="BodyText"/>
        <w:spacing w:before="18"/>
      </w:pPr>
    </w:p>
    <w:p>
      <w:pPr>
        <w:pStyle w:val="BodyText"/>
        <w:ind w:left="234"/>
      </w:pPr>
      <w:r>
        <w:rPr/>
        <w:t>O</w:t>
      </w:r>
      <w:r>
        <w:rPr>
          <w:spacing w:val="3"/>
        </w:rPr>
        <w:t> </w:t>
      </w:r>
      <w:r>
        <w:rPr/>
        <w:t>PROCURADOR-GERAL</w:t>
      </w:r>
      <w:r>
        <w:rPr>
          <w:spacing w:val="3"/>
        </w:rPr>
        <w:t> </w:t>
      </w:r>
      <w:r>
        <w:rPr/>
        <w:t>DE</w:t>
      </w:r>
      <w:r>
        <w:rPr>
          <w:spacing w:val="3"/>
        </w:rPr>
        <w:t> </w:t>
      </w:r>
      <w:r>
        <w:rPr/>
        <w:t>JUSTIÇA</w:t>
      </w:r>
      <w:r>
        <w:rPr>
          <w:spacing w:val="3"/>
        </w:rPr>
        <w:t> </w:t>
      </w:r>
      <w:r>
        <w:rPr/>
        <w:t>DO</w:t>
      </w:r>
      <w:r>
        <w:rPr>
          <w:spacing w:val="3"/>
        </w:rPr>
        <w:t> </w:t>
      </w:r>
      <w:r>
        <w:rPr/>
        <w:t>ESTADO</w:t>
      </w:r>
      <w:r>
        <w:rPr>
          <w:spacing w:val="3"/>
        </w:rPr>
        <w:t> </w:t>
      </w:r>
      <w:r>
        <w:rPr/>
        <w:t>DE</w:t>
      </w:r>
      <w:r>
        <w:rPr>
          <w:spacing w:val="3"/>
        </w:rPr>
        <w:t> </w:t>
      </w:r>
      <w:r>
        <w:rPr/>
        <w:t>ALAGOAS,</w:t>
      </w:r>
      <w:r>
        <w:rPr>
          <w:spacing w:val="3"/>
        </w:rPr>
        <w:t> </w:t>
      </w:r>
      <w:r>
        <w:rPr/>
        <w:t>no</w:t>
      </w:r>
      <w:r>
        <w:rPr>
          <w:spacing w:val="3"/>
        </w:rPr>
        <w:t> </w:t>
      </w:r>
      <w:r>
        <w:rPr/>
        <w:t>uso</w:t>
      </w:r>
      <w:r>
        <w:rPr>
          <w:spacing w:val="3"/>
        </w:rPr>
        <w:t> </w:t>
      </w:r>
      <w:r>
        <w:rPr/>
        <w:t>de</w:t>
      </w:r>
      <w:r>
        <w:rPr>
          <w:spacing w:val="3"/>
        </w:rPr>
        <w:t> </w:t>
      </w:r>
      <w:r>
        <w:rPr/>
        <w:t>suas</w:t>
      </w:r>
      <w:r>
        <w:rPr>
          <w:spacing w:val="3"/>
        </w:rPr>
        <w:t> </w:t>
      </w:r>
      <w:r>
        <w:rPr/>
        <w:t>atribuições</w:t>
      </w:r>
      <w:r>
        <w:rPr>
          <w:spacing w:val="3"/>
        </w:rPr>
        <w:t> </w:t>
      </w:r>
      <w:r>
        <w:rPr/>
        <w:t>legais,</w:t>
      </w:r>
      <w:r>
        <w:rPr>
          <w:spacing w:val="3"/>
        </w:rPr>
        <w:t> </w:t>
      </w:r>
      <w:r>
        <w:rPr/>
        <w:t>especialmente</w:t>
      </w:r>
      <w:r>
        <w:rPr>
          <w:spacing w:val="3"/>
        </w:rPr>
        <w:t> </w:t>
      </w:r>
      <w:r>
        <w:rPr/>
        <w:t>as</w:t>
      </w:r>
      <w:r>
        <w:rPr>
          <w:spacing w:val="3"/>
        </w:rPr>
        <w:t> </w:t>
      </w:r>
      <w:r>
        <w:rPr>
          <w:spacing w:val="-5"/>
        </w:rPr>
        <w:t>que</w:t>
      </w:r>
    </w:p>
    <w:sectPr>
      <w:headerReference w:type="default" r:id="rId5"/>
      <w:footerReference w:type="default" r:id="rId6"/>
      <w:type w:val="continuous"/>
      <w:pgSz w:w="11900" w:h="16840"/>
      <w:pgMar w:header="99" w:footer="725" w:top="780" w:bottom="920" w:left="566" w:right="566"/>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9264">
              <wp:simplePos x="0" y="0"/>
              <wp:positionH relativeFrom="page">
                <wp:posOffset>431800</wp:posOffset>
              </wp:positionH>
              <wp:positionV relativeFrom="page">
                <wp:posOffset>10058400</wp:posOffset>
              </wp:positionV>
              <wp:extent cx="66929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7216"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99776">
              <wp:simplePos x="0" y="0"/>
              <wp:positionH relativeFrom="page">
                <wp:posOffset>1027683</wp:posOffset>
              </wp:positionH>
              <wp:positionV relativeFrom="page">
                <wp:posOffset>10080724</wp:posOffset>
              </wp:positionV>
              <wp:extent cx="550227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816704" type="#_x0000_t202" id="docshape2"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0288">
              <wp:simplePos x="0" y="0"/>
              <wp:positionH relativeFrom="page">
                <wp:posOffset>7015988</wp:posOffset>
              </wp:positionH>
              <wp:positionV relativeFrom="page">
                <wp:posOffset>10235530</wp:posOffset>
              </wp:positionV>
              <wp:extent cx="9652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6520" cy="167640"/>
                      </a:xfrm>
                      <a:prstGeom prst="rect">
                        <a:avLst/>
                      </a:prstGeom>
                    </wps:spPr>
                    <wps:txbx>
                      <w:txbxContent>
                        <w:p>
                          <w:pPr>
                            <w:spacing w:before="13"/>
                            <w:ind w:left="20" w:right="0" w:firstLine="0"/>
                            <w:jc w:val="left"/>
                            <w:rPr>
                              <w:rFonts w:ascii="Arial"/>
                              <w:b/>
                              <w:sz w:val="20"/>
                            </w:rPr>
                          </w:pPr>
                          <w:r>
                            <w:rPr>
                              <w:rFonts w:ascii="Arial"/>
                              <w:b/>
                              <w:spacing w:val="-10"/>
                              <w:sz w:val="20"/>
                            </w:rPr>
                            <w:t>1</w:t>
                          </w:r>
                        </w:p>
                      </w:txbxContent>
                    </wps:txbx>
                    <wps:bodyPr wrap="square" lIns="0" tIns="0" rIns="0" bIns="0" rtlCol="0">
                      <a:noAutofit/>
                    </wps:bodyPr>
                  </wps:wsp>
                </a:graphicData>
              </a:graphic>
            </wp:anchor>
          </w:drawing>
        </mc:Choice>
        <mc:Fallback>
          <w:pict>
            <v:shape style="position:absolute;margin-left:552.440002pt;margin-top:805.947266pt;width:7.6pt;height:13.2pt;mso-position-horizontal-relative:page;mso-position-vertical-relative:page;z-index:-15816192" type="#_x0000_t202" id="docshape3" filled="false" stroked="false">
              <v:textbox inset="0,0,0,0">
                <w:txbxContent>
                  <w:p>
                    <w:pPr>
                      <w:spacing w:before="13"/>
                      <w:ind w:left="20" w:right="0" w:firstLine="0"/>
                      <w:jc w:val="left"/>
                      <w:rPr>
                        <w:rFonts w:ascii="Arial"/>
                        <w:b/>
                        <w:sz w:val="20"/>
                      </w:rPr>
                    </w:pPr>
                    <w:r>
                      <w:rPr>
                        <w:rFonts w:ascii="Arial"/>
                        <w:b/>
                        <w:spacing w:val="-10"/>
                        <w:sz w:val="20"/>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8752">
              <wp:simplePos x="0" y="0"/>
              <wp:positionH relativeFrom="page">
                <wp:posOffset>4780153</wp:posOffset>
              </wp:positionH>
              <wp:positionV relativeFrom="page">
                <wp:posOffset>50465</wp:posOffset>
              </wp:positionV>
              <wp:extent cx="2428875" cy="1917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28875" cy="191770"/>
                      </a:xfrm>
                      <a:prstGeom prst="rect">
                        <a:avLst/>
                      </a:prstGeom>
                    </wps:spPr>
                    <wps:txbx>
                      <w:txbxContent>
                        <w:p>
                          <w:pPr>
                            <w:spacing w:line="312" w:lineRule="auto" w:before="2"/>
                            <w:ind w:left="1289" w:right="18"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6.390015pt;margin-top:3.973633pt;width:191.25pt;height:15.1pt;mso-position-horizontal-relative:page;mso-position-vertical-relative:page;z-index:-15817728" type="#_x0000_t202" id="docshape1" filled="false" stroked="false">
              <v:textbox inset="0,0,0,0">
                <w:txbxContent>
                  <w:p>
                    <w:pPr>
                      <w:spacing w:line="312" w:lineRule="auto" w:before="2"/>
                      <w:ind w:left="1289" w:right="18"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spacing w:line="149" w:lineRule="exact"/>
      <w:ind w:right="183"/>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2025-07-21T14:21:17Z</dcterms:created>
  <dcterms:modified xsi:type="dcterms:W3CDTF">2025-07-21T14:21:17Z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2025-07-21T00:00:00Z</vt:filetime>
  </property>
</Properties>
</file>